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1.004959.000.00.00.H26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tranh chấp lao động tập thể về quyền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Một trong hai bên liên quan đến tranh chấp lao động về quyền gửi đơn yêu cầu giải quyết tranh chấp lao động về quyền tới Chủ tịch Ủy ban nhân dân cấp huyện</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đơn, Chủ tịch Ủy ban nhân dân cấp huyện phải tiến hành giải quyết tranh chấp lao động.</w:t>
      </w:r>
    </w:p>
    <w:p>
      <w:pPr>
        <w:spacing w:after="0" w:before="0" w:lineRule="auto" w:line="276"/>
        <w:jc w:val="both"/>
      </w:pPr>
      <w:r>
        <w:rPr>
          <w:rFonts w:ascii="Times New Roman" w:hAnsi="Times New Roman" w:cs="Times New Roman" w:eastAsia="Times New Roman"/>
          <w:b w:val="false"/>
          <w:sz w:val="26"/>
        </w:rPr>
        <w:t>Bước 3: Trong trường hợp các bên không đồng ý với quyết định của Chủ tịch Ủy ban nhân dân cấp huyện hoặc quá thời hạn mà Chủ tịch Ủy ban nhân dân cấp huyện không giải quyết thì các bên có quyền yêu cầu Tòa án giải quyết.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huyện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giải quyết tranh chấp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Tranh chấp lao động về quyền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10/2012/QH13</w:t>
            </w:r>
          </w:p>
        </w:tc>
        <w:tc>
          <w:p/>
          <w:p>
            <w:pPr>
              <w:spacing w:after="0" w:before="0" w:lineRule="auto" w:line="276"/>
              <w:jc w:val="left"/>
            </w:pPr>
            <w:r>
              <w:rPr>
                <w:rFonts w:ascii="Times New Roman" w:hAnsi="Times New Roman" w:cs="Times New Roman" w:eastAsia="Times New Roman"/>
                <w:b w:val="false"/>
                <w:sz w:val="26"/>
              </w:rPr>
              <w:t>Bộ luật 10/2012/QH13-Lao động</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Tranh chấp lao động về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2026-05-07T05:24:52Z</dcterms:created>
  <dc:creator>Apache POI</dc:creator>
</cp:coreProperties>
</file>