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1.004223.000.00.00.H21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dưới đất đối với công trình có quy mô dưới 5.000 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phép. 
+ Trường hợp hồ sơ hợp lệ, Bộ phận Một cửa chuyển hồ sơ cho Sở Nông nghiệp và Môi trường để tổ chức thẩm định.
- Bước 3: Thẩm định hồ sơ và quyết định cấp phép:
Kể từ ngày nhận đủ hồ sơ hợp lệ, Sở Nông nghiệp và Môi trường có trách nhiệm gửi thông báo nộp phí thẩm định cho tổ chức, cá nhân đề nghị cấp phép và thẩm định hồ sơ; nếu cần thiết thì kiểm tra thực tế hiện trường, lập hội đồng thẩm định báo cáo, tổ chức lấy ý kiến các cơ quan, tổ chức, cá nhân có liên quan.
+ Trường hợp đủ điều kiện cấp phép, Sở Nông nghiệp và Môi trường trình Chủ tịch Ủy ban nhân dân cấp tỉnh cấp phép; trường hợp không đủ điều kiện để cấp phép thì Sở Nông nghiệp và Môi trường gửi văn bản thông báo cho tổ chức, cá nhân đề nghị cấp phép nêu rõ những nội dung đề án chưa đạt yêu cầu và trả lại hồ sơ đề nghị cấp phép.
+ Trường hợp phải bổ sung, chỉnh sửa để hoàn thiện báo cáo, Sở Nông nghiệp và Môi trường gửi văn bản thông báo cho tổ chức, cá nhân đề nghị cấp phép nêu rõ những nội dung cần bổ sung, hoàn thiện báo cáo. 
Thời gian bổ sung, hoàn thiện báo cáo không tính vào thời gian thẩm định báo cáo. Thời gian thẩm định sau khi báo cáo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(Trường hợp Báo cáo đánh giá trữ lượng khai thác nước dưới đất : Báo cáo đánh giá trữ lượng khai thác nước dưới  đất có lưu lượng từ 20 m3/ngày đêm dưới 200  m3/ngày đêm  :1.700.000  Báo cáo đánh giá trữ lượng khai thác nước dưới  đất có lưu lượng từ 20 m3/ngày đêm dưới 200  m3/ngày đêm:   1.700.000 đồng/báo  cáo;  Báo cáo đánh giá trữ lượng khai thác nước dưới  đất có lưu lượng từ 200 m3/ngày đêm dưới 1.000  m3/ngày đêm  : 3.750.000  đồng/báo  cáo; Báo cáo đánh giá trữ lượng khai thác nước dưới  đất có lưu lượng từ 1.000 m3/ngày đêm dưới  3.000 m3/ngày đêm : 5.000.000  đồng/báo  cáo; Báo cáo đánh giá trữ lượng khai thác nước dưới  đất có lưu lượng từ 3.000 m3/ngày đêm dưới  5.000 m3/ngày đêm  :7.500.000 đồng/báo  cáo)</w:t>
            </w:r>
          </w:p>
          <w:p>
            <w:pPr>
              <w:spacing w:after="0" w:before="0" w:lineRule="auto" w:line="276"/>
              <w:jc w:val="left"/>
            </w:pPr>
            <w:r>
              <w:rPr>
                <w:rFonts w:ascii="Times New Roman" w:hAnsi="Times New Roman" w:cs="Times New Roman" w:eastAsia="Times New Roman"/>
                <w:b w:val="false"/>
                <w:sz w:val="26"/>
              </w:rPr>
              <w:t>Phí :  Đồng</w:t>
              <w:t xml:space="preserve"> (Trường hợp Báo cáo hiện trạng khai thác nước dưới đất : Báo cáo hiện trạng khai thác nước dưới đất có lưu  lượng từ 10 m3/ngày đêm dưới 200 m3/ngày  : 1.600.000 đồng/  báo cáo;  Báo cáo hiện trạng khai thác nước dưới đất có lưu  lượng từ 200 m3/ngày đêm dưới 1.000 m3/ngày : 3.750.000  đồng/  báo cáo;  Báo cáo hiện trạng khai thác nước dưới đất có lưu  lượng từ 1.000 m3/ngày đêm dưới 3.000 m3/ngày : 5.800.000   đồng/  báo cáo ; Báo cáo hiện trạng khai thác nước dưới đất có lưu  lượng từ 3.000 m3/ngày đêm dưới 5.000 m3/ngày: 8.500.000   đồng/  báo cáo)</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(Trường hợp Báo cáo đánh giá trữ lượng khai thác nước dưới đất : Báo cáo đánh giá trữ lượng khai thác nước dưới  đất có lưu lượng từ 20 m3/ngày đêm dưới 200  m3/ngày đêm  :1.700.000  Báo cáo đánh giá trữ lượng khai thác nước dưới  đất có lưu lượng từ 20 m3/ngày đêm dưới 200  m3/ngày đêm:   1.700.000 đồng/báo  cáo;  Báo cáo đánh giá trữ lượng khai thác nước dưới  đất có lưu lượng từ 200 m3/ngày đêm dưới 1.000  m3/ngày đêm  : 3.750.000  đồng/báo  cáo; Báo cáo đánh giá trữ lượng khai thác nước dưới  đất có lưu lượng từ 1.000 m3/ngày đêm dưới  3.000 m3/ngày đêm : 5.000.000  đồng/báo  cáo; Báo cáo đánh giá trữ lượng khai thác nước dưới  đất có lưu lượng từ 3.000 m3/ngày đêm dưới  5.000 m3/ngày đêm  :7.500.000 đồng/báo  cáo)</w:t>
            </w:r>
          </w:p>
          <w:p>
            <w:pPr>
              <w:spacing w:after="0" w:before="0" w:lineRule="auto" w:line="276"/>
              <w:jc w:val="left"/>
            </w:pPr>
            <w:r>
              <w:rPr>
                <w:rFonts w:ascii="Times New Roman" w:hAnsi="Times New Roman" w:cs="Times New Roman" w:eastAsia="Times New Roman"/>
                <w:b w:val="false"/>
                <w:sz w:val="26"/>
              </w:rPr>
              <w:t>Phí :  Đồng</w:t>
              <w:t xml:space="preserve"> (Trường hợp Báo cáo hiện trạng khai thác nước dưới đất : Báo cáo hiện trạng khai thác nước dưới đất có lưu  lượng từ 10 m3/ngày đêm dưới 200 m3/ngày  : 1.600.000 đồng/  báo cáo;  Báo cáo hiện trạng khai thác nước dưới đất có lưu  lượng từ 200 m3/ngày đêm dưới 1.000 m3/ngày : 3.750.000  đồng/  báo cáo;  Báo cáo hiện trạng khai thác nước dưới đất có lưu  lượng từ 1.000 m3/ngày đêm dưới 3.000 m3/ngày : 5.800.000   đồng/  báo cáo ; Báo cáo hiện trạng khai thác nước dưới đất có lưu  lượng từ 3.000 m3/ngày đêm dưới 5.000 m3/ngày: 8.500.000   đồng/  báo cáo)</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(Trường hợp Báo cáo hiện trạng khai thác nước dưới đất : Báo cáo hiện trạng khai thác nước dưới đất có lưu  lượng từ 10 m3/ngày đêm dưới 200 m3/ngày  : 1.600.000 đồng/  báo cáo;  Báo cáo hiện trạng khai thác nước dưới đất có lưu  lượng từ 200 m3/ngày đêm dưới 1.000 m3/ngày : 3.750.000  đồng/  báo cáo;  Báo cáo hiện trạng khai thác nước dưới đất có lưu  lượng từ 1.000 m3/ngày đêm dưới 3.000 m3/ngày : 5.800.000   đồng/  báo cáo ; Báo cáo hiện trạng khai thác nước dưới đất có lưu  lượng từ 3.000 m3/ngày đêm dưới 5.000 m3/ngày: 8.500.000   đồng/  báo cáo)</w:t>
            </w:r>
          </w:p>
          <w:p>
            <w:pPr>
              <w:spacing w:after="0" w:before="0" w:lineRule="auto" w:line="276"/>
              <w:jc w:val="left"/>
            </w:pPr>
            <w:r>
              <w:rPr>
                <w:rFonts w:ascii="Times New Roman" w:hAnsi="Times New Roman" w:cs="Times New Roman" w:eastAsia="Times New Roman"/>
                <w:b w:val="false"/>
                <w:sz w:val="26"/>
              </w:rPr>
              <w:t>Phí :  Đồng</w:t>
              <w:t xml:space="preserve"> (Trường hợp Báo cáo đánh giá trữ lượng khai thác nước dưới đất : Báo cáo đánh giá trữ lượng khai thác nước dưới  đất có lưu lượng từ 20 m3/ngày đêm dưới 200  m3/ngày đêm  :1.700.000  Báo cáo đánh giá trữ lượng khai thác nước dưới  đất có lưu lượng từ 20 m3/ngày đêm dưới 200  m3/ngày đêm:   1.700.000 đồng/báo  cáo;  Báo cáo đánh giá trữ lượng khai thác nước dưới  đất có lưu lượng từ 200 m3/ngày đêm dưới 1.000  m3/ngày đêm  : 3.750.000  đồng/báo  cáo; Báo cáo đánh giá trữ lượng khai thác nước dưới  đất có lưu lượng từ 1.000 m3/ngày đêm dưới  3.000 m3/ngày đêm : 5.000.000  đồng/báo  cáo; Báo cáo đánh giá trữ lượng khai thác nước dưới  đất có lưu lượng từ 3.000 m3/ngày đêm dưới  5.000 m3/ngày đêm  :7.500.000 đồng/báo  cáo)</w:t>
            </w:r>
          </w:p>
        </w:tc>
        <w:tc>
          <w:p/>
          <w:p>
            <w:pPr>
              <w:spacing w:after="0" w:before="0" w:lineRule="auto" w:line="276"/>
              <w:jc w:val="left"/>
            </w:pPr>
            <w:r>
              <w:rPr>
                <w:rFonts w:ascii="Times New Roman" w:hAnsi="Times New Roman" w:cs="Times New Roman" w:eastAsia="Times New Roman"/>
                <w:b w:val="false"/>
                <w:sz w:val="26"/>
              </w:rPr>
              <w:t>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theo Mẫu 03,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thăm dò đánh giá trữ lượng nước dưới đất đối với công trình có quy mô từ 200 m3/ngày đêm trở lên theo Mẫu 38, Phụ lục I Nghị định số 23/2026/NĐ-CP hoặc báo cáo kết quả thi công giếng khai thác đối với công trình có quy mô nhỏ hơn 200 m3/ngày đêm trong trường hợp chưa có công trình khai thác theo Mẫu 39, Phụ lục I Nghị định số 23/2026/NĐ-CP; báo cáo hiện trạng khai thác đối với trường hợp công trình khai thác nước dưới đất đang hoạt động theo Mẫu 40, Phụ lục I Nghị định số 23/2026/NĐ-CP.</w:t>
            </w:r>
          </w:p>
        </w:tc>
        <w:tc>
          <w:p/>
          <w:p>
            <w:pPr>
              <w:spacing w:after="0" w:before="0" w:lineRule="auto" w:line="276"/>
              <w:jc w:val="left"/>
            </w:pPr>
            <w:r>
              <w:rPr>
                <w:rFonts w:ascii="Times New Roman" w:hAnsi="Times New Roman" w:cs="Times New Roman" w:eastAsia="Times New Roman"/>
                <w:b w:val="false"/>
                <w:sz w:val="26"/>
              </w:rPr>
              <w:t>Mau38.doc</w:t>
            </w:r>
          </w:p>
          <w:p>
            <w:pPr>
              <w:spacing w:after="0" w:before="0" w:lineRule="auto" w:line="276"/>
              <w:jc w:val="left"/>
            </w:pPr>
            <w:r>
              <w:rPr>
                <w:rFonts w:ascii="Times New Roman" w:hAnsi="Times New Roman" w:cs="Times New Roman" w:eastAsia="Times New Roman"/>
                <w:b w:val="false"/>
                <w:sz w:val="26"/>
              </w:rPr>
              <w:t>Mau39.doc</w:t>
            </w:r>
          </w:p>
          <w:p>
            <w:pPr>
              <w:spacing w:after="0" w:before="0" w:lineRule="auto" w:line="276"/>
              <w:jc w:val="left"/>
            </w:pPr>
            <w:r>
              <w:rPr>
                <w:rFonts w:ascii="Times New Roman" w:hAnsi="Times New Roman" w:cs="Times New Roman" w:eastAsia="Times New Roman"/>
                <w:b w:val="false"/>
                <w:sz w:val="26"/>
              </w:rPr>
              <w:t>Mau40.doc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hoặc qua đường bưu điện đến Trung tâm Phục vụ hành chính công tỉnh hoặc Trung tâm Phục vụ hành chính công xã, phường. Trực tuyến tại Cổng Dịch vụ công quốc gia hoặc ứng dụng định danh quốc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Cấp giấy phép khai thác nước dưới đất đối với công trình có quy mô dưới 5.000m3/ngày đêm theo Mẫu 21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09/2025/NQ-HĐND</w:t>
            </w:r>
          </w:p>
        </w:tc>
        <w:tc>
          <w:p/>
          <w:p>
            <w:pPr>
              <w:spacing w:after="0" w:before="0" w:lineRule="auto" w:line="276"/>
              <w:jc w:val="left"/>
            </w:pPr>
            <w:r>
              <w:rPr>
                <w:rFonts w:ascii="Times New Roman" w:hAnsi="Times New Roman" w:cs="Times New Roman" w:eastAsia="Times New Roman"/>
                <w:b w:val="false"/>
                <w:sz w:val="26"/>
              </w:rPr>
              <w:t>quy định các loại phí và lệ phí trên địa bàn tỉnh Gia Lai thuộc thẩm quyền quyết định của Hội đồng nhân dân tỉnh</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2639/QĐ-UBND</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Chủ tịch ủy ban nhân dân cấp tỉnh</w:t>
            </w:r>
          </w:p>
        </w:tc>
      </w:tr>
      <w:tr>
        <w:tc>
          <w:p/>
          <w:p>
            <w:pPr>
              <w:spacing w:after="0" w:before="0" w:lineRule="auto" w:line="276"/>
              <w:jc w:val="left"/>
            </w:pPr>
            <w:r>
              <w:rPr>
                <w:rFonts w:ascii="Times New Roman" w:hAnsi="Times New Roman" w:cs="Times New Roman" w:eastAsia="Times New Roman"/>
                <w:b w:val="false"/>
                <w:sz w:val="26"/>
              </w:rPr>
              <w:t>NĐ 23/2026/NĐ-CP</w:t>
            </w:r>
          </w:p>
        </w:tc>
        <w:tc>
          <w:p/>
          <w:p>
            <w:pPr>
              <w:spacing w:after="0" w:before="0" w:lineRule="auto" w:line="276"/>
              <w:jc w:val="left"/>
            </w:pPr>
            <w:r>
              <w:rPr>
                <w:rFonts w:ascii="Times New Roman" w:hAnsi="Times New Roman" w:cs="Times New Roman" w:eastAsia="Times New Roman"/>
                <w:b w:val="false"/>
                <w:sz w:val="26"/>
              </w:rPr>
              <w:t>Nghị định 23/2026/NĐ-CP ngày 17/01/2026 của Chính phủ sửa đổi, bổ sung một số điều của các Nghị định trong lĩnh vực tài nguyên nước.</w:t>
            </w:r>
          </w:p>
        </w:tc>
        <w:tc>
          <w:p/>
          <w:p>
            <w:pPr>
              <w:spacing w:after="0" w:before="0" w:lineRule="auto" w:line="276"/>
              <w:jc w:val="left"/>
            </w:pPr>
            <w:r>
              <w:rPr>
                <w:rFonts w:ascii="Times New Roman" w:hAnsi="Times New Roman" w:cs="Times New Roman" w:eastAsia="Times New Roman"/>
                <w:b w:val="false"/>
                <w:sz w:val="26"/>
              </w:rPr>
              <w:t>17-01-2026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2026-05-24T22:34:55Z</dcterms:created>
  <dc:creator>Apache POI</dc:creator>
</cp:coreProperties>
</file>