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Căn cứ Danh mục khu vực phải đăng ký khai thác nước dưới đất được phê duyệt, tổ trưởng tổ dân phố, trưởng thôn, bản (sau đây gọi chung là tổ trưởng tổ dân phố) thông báo và phát hai (02) tờ khai quy định tại Mẫu số 38 cho tổ chức, cá nhân để kê khai.
Trường hợp chưa có giếng khoan, tổ chức, cá nhân phải thực hiện việc đăng ký khai thác trước khi tiến hành khoan giếng.
</w:t>
      </w:r>
    </w:p>
    <w:p>
      <w:pPr>
        <w:spacing w:after="0" w:before="0" w:lineRule="auto" w:line="276"/>
        <w:jc w:val="both"/>
      </w:pPr>
      <w:r>
        <w:rPr>
          <w:rFonts w:ascii="Times New Roman" w:hAnsi="Times New Roman" w:cs="Times New Roman" w:eastAsia="Times New Roman"/>
          <w:b w:val="false"/>
          <w:sz w:val="26"/>
        </w:rPr>
        <w:t xml:space="preserve">- Tổ chức, cá nhân có trách nhiệm hoàn thành hai (02) tờ khai và nộp cho Ủy ban nhân dân cấp huyện hoặc nộp cho tổ trưởng tổ dân phố để nộp cho Ủy ban nhân dân cấp xã. </w:t>
      </w:r>
    </w:p>
    <w:p>
      <w:pPr>
        <w:spacing w:after="0" w:before="0" w:lineRule="auto" w:line="276"/>
        <w:jc w:val="both"/>
      </w:pPr>
      <w:r>
        <w:rPr>
          <w:rFonts w:ascii="Times New Roman" w:hAnsi="Times New Roman" w:cs="Times New Roman" w:eastAsia="Times New Roman"/>
          <w:b w:val="false"/>
          <w:sz w:val="26"/>
        </w:rPr>
        <w:t>- Ủy ban nhân dân cấp xã có trách nhiệm nộp tờ khai cho Ủy ban nhân dân cấp huyện.</w:t>
      </w:r>
    </w:p>
    <w:p>
      <w:pPr>
        <w:spacing w:after="0" w:before="0" w:lineRule="auto" w:line="276"/>
        <w:jc w:val="both"/>
      </w:pPr>
      <w:r>
        <w:rPr>
          <w:rFonts w:ascii="Times New Roman" w:hAnsi="Times New Roman" w:cs="Times New Roman" w:eastAsia="Times New Roman"/>
          <w:b w:val="false"/>
          <w:sz w:val="26"/>
        </w:rPr>
        <w:t>- Ủy ban nhân dân cấp huyện có trách nhiệm kiểm tra nội dung thông tin, xác nhận vào tờ khai và gửi một (01) bản cho tổ chức, cá nhân.</w:t>
      </w:r>
    </w:p>
    <w:p>
      <w:pPr>
        <w:spacing w:after="0" w:before="0" w:lineRule="auto" w:line="276"/>
        <w:jc w:val="both"/>
      </w:pPr>
      <w:r>
        <w:rPr>
          <w:rFonts w:ascii="Times New Roman" w:hAnsi="Times New Roman" w:cs="Times New Roman" w:eastAsia="Times New Roman"/>
          <w:b w:val="false"/>
          <w:sz w:val="26"/>
        </w:rPr>
        <w:t>Trường hợp tổ chức, cá nhân đã đăng ký khai thác nước dưới đất, nếu không tiếp tục khai thác, sử dụng thì phải thông báo và trả tờ khai cho Ủy ban nhân dân cấp huyện hoặc tổ trưởng dân phố để báo cho Ủy ban nhân dân cấp huyện và thực hiện việc trám, lấp giếng không sử dụng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07 ngày làm việc
Thời hạn thẩm định hồ sơ: Trong thời hạn 07 ngày làm việc, kể từ ngày nhận hồ sơ hợp lệ, Phòng chuyên môn về lĩnh vực nông nghiệp và môi trường tổ chức kiểm tra nội dung tờ khai, trình Chủ tịch Ủy ban nhân dân cấp xã xác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07 ngày làm việc
Thời hạn thẩm định hồ sơ: Trong thời hạn 07 ngày làm việc, kể từ ngày nhận hồ sơ hợp lệ, Phòng chuyên môn về lĩnh vực nông nghiệp và môi trường tổ chức kiểm tra nội dung tờ khai, trình Chủ tịch Ủy ban nhân dân cấp xã xác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07 ngày làm việc
Thời hạn thẩm định hồ sơ: Trong thời hạn 07 ngày làm việc, kể từ ngày nhận hồ sơ hợp lệ, Phòng chuyên môn về lĩnh vực nông nghiệp và môi trường tổ chức kiểm tra nội dung tờ khai, trình Chủ tịch Ủy ban nhân dân cấp xã xác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sử dụng nước dưới đất tự chảy trong moong khai thác khoáng sát để tuyển quặng, bơm hút nước để tháo khô mỏ) theo Mẫu 14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Mau14.doc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khai thác cho các mục đích với quy mô không vượt quá 10m3/ngày đêm, trừ hộ gia đình khia thác nước dưới đất để dùng cho sinh hoạt của mình) theo Mẫu 13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Mu13.doc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 chi nhánh số 1; Bộ phận tiếp nhận và trả kết quả giải quyết thủ tục hành chính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Đăng ký khai thác nước dưới đất theo Mẫu 34a và Mẫu 34b tại Phụ lục I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27/2014/TT-BTNMT</w:t>
            </w:r>
          </w:p>
        </w:tc>
        <w:tc>
          <w:p/>
          <w:p>
            <w:pPr>
              <w:spacing w:after="0" w:before="0" w:lineRule="auto" w:line="276"/>
              <w:jc w:val="left"/>
            </w:pPr>
            <w:r>
              <w:rPr>
                <w:rFonts w:ascii="Times New Roman" w:hAnsi="Times New Roman" w:cs="Times New Roman" w:eastAsia="Times New Roman"/>
                <w:b w:val="false"/>
                <w:sz w:val="26"/>
              </w:rPr>
              <w:t>Thông tư 27/2014/TT-BTNMT</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17/2012/QH13</w:t>
            </w:r>
          </w:p>
        </w:tc>
        <w:tc>
          <w:p/>
          <w:p>
            <w:pPr>
              <w:spacing w:after="0" w:before="0" w:lineRule="auto" w:line="276"/>
              <w:jc w:val="left"/>
            </w:pPr>
            <w:r>
              <w:rPr>
                <w:rFonts w:ascii="Times New Roman" w:hAnsi="Times New Roman" w:cs="Times New Roman" w:eastAsia="Times New Roman"/>
                <w:b w:val="false"/>
                <w:sz w:val="26"/>
              </w:rPr>
              <w:t>Tài nguyên nước</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2026-05-07T05:31:04Z</dcterms:created>
  <dc:creator>Apache POI</dc:creator>
</cp:coreProperties>
</file>