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1.001645.000.00.00.H26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ý kiến đại diện cộng đồng dân cư và tổ chức, cá nhân (đối với trường hợp cơ quan tổ chức lấy ý kiến là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dự án gửi văn bản lấy ý kiến kèm theo quy mô, phương án chuyển nước và các thông tin, số liệu, tài liệu liên quan tới: Ủy ban nhân dân cấp xã, Ủy ban nhân dân cấp huyện nơi nguồn nước nội tỉnh bị chuyển nước và Sở Tài nguyên và Môi trường.
</w:t>
      </w:r>
    </w:p>
    <w:p>
      <w:pPr>
        <w:spacing w:after="0" w:before="0" w:lineRule="auto" w:line="276"/>
        <w:jc w:val="both"/>
      </w:pPr>
      <w:r>
        <w:rPr>
          <w:rFonts w:ascii="Times New Roman" w:hAnsi="Times New Roman" w:cs="Times New Roman" w:eastAsia="Times New Roman"/>
          <w:b w:val="false"/>
          <w:sz w:val="26"/>
        </w:rPr>
        <w:t xml:space="preserve"> Bước 2: Kể từ ngày nhận được đề nghị xin ý kiến của chủ dự án, Sở Tài nguyên và Môi trường có trách nhiệm trách nhiệm hướng dẫn, hỗ trợ Ủy ban nhân dân cấp huyện, Ủy ban nhân dân cấp xã tổ chức các buổi làm việc, cuộc họp với các cơ quan, tổ chức có liên quan cho ý kiến về quy mô, phương án chuyển nước đề xuất hoặc đối thoại trực tiếp với chủ dự án.</w:t>
      </w:r>
    </w:p>
    <w:p>
      <w:pPr>
        <w:spacing w:after="0" w:before="0" w:lineRule="auto" w:line="276"/>
        <w:jc w:val="both"/>
      </w:pPr>
      <w:r>
        <w:rPr>
          <w:rFonts w:ascii="Times New Roman" w:hAnsi="Times New Roman" w:cs="Times New Roman" w:eastAsia="Times New Roman"/>
          <w:b w:val="false"/>
          <w:sz w:val="26"/>
        </w:rPr>
        <w:t>Bước 3: Sở Tài nguyên và Môi trường tổng hợp ý kiến và gửi cho chủ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t xml:space="preserve">Mức giá : Kinh phí tổ chức lấy ý kiến do chủ dự án chi trả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t xml:space="preserve">Mức giá : Kinh phí tổ chức lấy ý kiến do chủ dự án chi trả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t xml:space="preserve">Mức giá : Kinh phí tổ chức lấy ý kiến do chủ dự án chi trả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là Văn bản tổng hợp các ý kiến góp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201/2013/NĐ-CP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Tài nguyên nước</w:t>
            </w:r>
          </w:p>
        </w:tc>
        <w:tc>
          <w:p/>
          <w:p>
            <w:pPr>
              <w:spacing w:after="0" w:before="0" w:lineRule="auto" w:line="276"/>
              <w:jc w:val="left"/>
            </w:pPr>
            <w:r>
              <w:rPr>
                <w:rFonts w:ascii="Times New Roman" w:hAnsi="Times New Roman" w:cs="Times New Roman" w:eastAsia="Times New Roman"/>
                <w:b w:val="false"/>
                <w:sz w:val="26"/>
              </w:rPr>
              <w:t>27-11-2013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17/2012/QH13</w:t>
            </w:r>
          </w:p>
        </w:tc>
        <w:tc>
          <w:p/>
          <w:p>
            <w:pPr>
              <w:spacing w:after="0" w:before="0" w:lineRule="auto" w:line="276"/>
              <w:jc w:val="left"/>
            </w:pPr>
            <w:r>
              <w:rPr>
                <w:rFonts w:ascii="Times New Roman" w:hAnsi="Times New Roman" w:cs="Times New Roman" w:eastAsia="Times New Roman"/>
                <w:b w:val="false"/>
                <w:sz w:val="26"/>
              </w:rPr>
              <w:t>Tài nguyên nước</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2026-05-07T05:28:58Z</dcterms:created>
  <dc:creator>Apache POI</dc:creator>
</cp:coreProperties>
</file>