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đề án du lịch sinh thái, nghỉ dưỡng, giải trí trong rừng phòng hộ, thuộc thẩm quyền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rừng nộp 01 bộ hồ sơ đến Sở Nông nghiệp và Môi trường (đối với khu rừng phòng hộ hoặc rừng sản xuất thuộc địa phương quản lý)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w:t>
      </w:r>
    </w:p>
    <w:p>
      <w:pPr>
        <w:spacing w:after="0" w:before="0" w:lineRule="auto" w:line="276"/>
        <w:jc w:val="both"/>
      </w:pPr>
      <w:r>
        <w:rPr>
          <w:rFonts w:ascii="Times New Roman" w:hAnsi="Times New Roman" w:cs="Times New Roman" w:eastAsia="Times New Roman"/>
          <w:b w:val="false"/>
          <w:sz w:val="26"/>
        </w:rPr>
        <w:t>b) Bước 2: Thẩm định 
- Trong thời hạn 05 ngày làm việc kể từ ngày nhận được hồ sơ hợp lệ, cơ quan giải quyết thủ tục hành chính lấy ý kiến thẩm định bằng văn bản của các cơ quan, đơn vị có liên quan về hồ sơ và nội dung của đề án du lịch sinh thái, nghỉ dưỡng, giải trí;
- Trong thời hạn 10 ngày làm việc kể từ ngày nhận được văn bản lấy ý kiến, cơ quan, đơn vị có ý kiến thẩm định bằng văn bản gửi cơ quan giải quyết thủ tục hành chính;
- Trong thời hạn 05 ngày làm việc kể từ ngày nhận được ý kiến thẩm định bằng văn bản của các cơ quan, đơn vị, cơ quan giải quyết thủ tục hành chính hoàn thành báo cáo thẩm định; trường hợp thẩm định không đạt thì thông báo cho chủ rừng bằng văn bản và nêu rõ lý do.</w:t>
      </w:r>
    </w:p>
    <w:p>
      <w:pPr>
        <w:spacing w:after="0" w:before="0" w:lineRule="auto" w:line="276"/>
        <w:jc w:val="both"/>
      </w:pPr>
      <w:r>
        <w:rPr>
          <w:rFonts w:ascii="Times New Roman" w:hAnsi="Times New Roman" w:cs="Times New Roman" w:eastAsia="Times New Roman"/>
          <w:b w:val="false"/>
          <w:sz w:val="26"/>
        </w:rPr>
        <w:t>c) Bước 3: Ban hành quyết định
Trong thời hạn 05 ngày làm việc kể từ ngày nhận đủ hồ sơ do cơ quan giải quyết thủ tục hành chính trình, Chủ tịch Ủy ban nhân dân cấp tỉnh (đối với khu rừng đặc dụng thuộc địa phương quản lý) quyết định phê duyệt đề án du lịch sinh thái, nghỉ dưỡng, giải trí trong rừng phòng hộ hoặc rừng sản xuất theo Mẫu số 15 Phụ lục IB ban hành kèm theo Nghị định số 42/2026/NĐ-CP, chuyển bộ phận tiếp nhận hồ sơ để thông báo cho chủ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Tờ trình của chủ rừng;</w:t>
            </w:r>
          </w:p>
        </w:tc>
        <w:tc>
          <w:p/>
          <w:p>
            <w:pPr>
              <w:spacing w:after="0" w:before="0" w:lineRule="auto" w:line="276"/>
              <w:jc w:val="left"/>
            </w:pPr>
            <w:r>
              <w:rPr>
                <w:rFonts w:ascii="Times New Roman" w:hAnsi="Times New Roman" w:cs="Times New Roman" w:eastAsia="Times New Roman"/>
                <w:b w:val="false"/>
                <w:sz w:val="26"/>
              </w:rPr>
              <w:t>Mus14-81.docx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sơ bộ hiện trạng rừng, khả năng tổ chức thực hiện và các loại sản phẩm, dịch vụ du lịch sinh thái, nghỉ dưỡng, giải trí</w:t>
            </w:r>
          </w:p>
        </w:tc>
        <w:tc>
          <w:p/>
          <w:p>
            <w:pPr>
              <w:spacing w:after="0" w:before="0" w:lineRule="auto" w:line="276"/>
              <w:jc w:val="left"/>
            </w:pPr>
            <w:r>
              <w:rPr>
                <w:rFonts w:ascii="Times New Roman" w:hAnsi="Times New Roman" w:cs="Times New Roman" w:eastAsia="Times New Roman"/>
                <w:b w:val="false"/>
                <w:sz w:val="26"/>
              </w:rPr>
              <w:t>Mus13-81.docx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Đề án du lịch sinh thái, nghỉ dưỡng, giải trí trong khu rừng phòng hộ hoặc rừng sản xuất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đề án du lịch sinh thái, nghỉ dưỡng, giải trí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2026-04-30T07:20:38Z</dcterms:created>
  <dc:creator>Apache POI</dc:creator>
</cp:coreProperties>
</file>