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1.000786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kinh doanh dịch vụ tin cậy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1.</w:t>
      </w:r>
    </w:p>
    <w:p>
      <w:pPr>
        <w:spacing w:after="0" w:before="0" w:lineRule="auto" w:line="276"/>
        <w:jc w:val="both"/>
      </w:pPr>
      <w:r>
        <w:rPr>
          <w:rFonts w:ascii="Times New Roman" w:hAnsi="Times New Roman" w:cs="Times New Roman" w:eastAsia="Times New Roman"/>
          <w:b w:val="false"/>
          <w:sz w:val="26"/>
        </w:rPr>
        <w:t>Doanh nghiệp đề nghị cấp giấy phép cung cấp dịch vụ chứng thực chữ ký số công cộng nộp hồ sơ cấp phép tại Bộ Thông tin và Truyền thông.</w:t>
      </w:r>
    </w:p>
    <w:p>
      <w:pPr>
        <w:spacing w:after="0" w:before="0" w:lineRule="auto" w:line="276"/>
        <w:jc w:val="both"/>
      </w:pPr>
      <w:r>
        <w:rPr>
          <w:rFonts w:ascii="Times New Roman" w:hAnsi="Times New Roman" w:cs="Times New Roman" w:eastAsia="Times New Roman"/>
          <w:b w:val="false"/>
          <w:sz w:val="26"/>
        </w:rPr>
        <w:t>Trong thời hạn 50 ngày, kể từ ngày nhận đủ hồ sơ cấp phép hợp lệ, Bộ Thông tin và Truyền thông chủ trì, phối hợp với Bộ Công an, Ban Cơ yếu Chính phủ và các bộ, ngành có liên quan thẩm tra hồ sơ và cấp giấy phép cho doanh nghiệp trong trường hợp doanh nghiệp đáp ứng đủ các điều kiện cấp phép tại Điều 13 Nghị định số 130/2018/NĐ-CP. Mẫu giấy phép cung cấp dịch vụ chứng thực chữ ký số công cộng quy định theo Mẫu số 05 tại Phụ lục ban hành kèm theo Nghị định số 130/2018/NĐ-CP.</w:t>
      </w:r>
    </w:p>
    <w:p>
      <w:pPr>
        <w:spacing w:after="0" w:before="0" w:lineRule="auto" w:line="276"/>
        <w:jc w:val="both"/>
      </w:pPr>
      <w:r>
        <w:rPr>
          <w:rFonts w:ascii="Times New Roman" w:hAnsi="Times New Roman" w:cs="Times New Roman" w:eastAsia="Times New Roman"/>
          <w:b w:val="false"/>
          <w:sz w:val="26"/>
        </w:rPr>
        <w:t>Trường hợp từ chối, Bộ Thông tin và Truyền thông có văn bản thông báo và nêu rõ lý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50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50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phép cung cấp dịch vụ chứng thực chữ ký số công cộng của doanh nghiệp</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Giấy xác nhận ký quỹ của một ngân hàng thương mại hoạt động tại Việt Nam. Giấy xác nhận này phải bao gồm, nhưng không giới hạn, điều khoản cam kết thanh toán vô điều kiện và không hủy ngang cho Bên nhận ký quỹ bất cứ khoản tiền nào trong giới hạn của khoản tiền ký quỹ để giải quyết các rủi ro và các khoản đền bù có thể xảy ra trong quá trình cung cấp dịch vụ do lỗi của tổ chức cung cấp dịch vụ chứng thực chữ ký số công cộng và thanh toán chi phí tiếp nhận và duy trì cơ sở dữ liệu của doanh nghiệp trong trường hợp bị thu hồi giấy phép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Hồ sơ nhân sự gồm: Sơ yếu lý lịch, bằng cấp, chứng chỉ của đội ngũ cán bộ kỹ thuật tham gia hoạt động cung cấp dịch vụ chứng thực chữ ký số của doanh nghiệp đáp ứng các quy định tại khoản 3 Điều 13 Nghị định số 130/2018/NĐ-CP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Phương án kỹ thuật nhằm đảm bảo quy định tại khoản 4 Điều 13 Nghị định số 130/2018/NĐ-CP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 chế chứng thực theo mẫu quy định tại Quy chế chứng thực của Tổ chức cung cấp dịch vụ chứng thực chữ ký số quốc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Chứng thực điện tử quốc gia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 ( Bộ TTTT cũ)</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Thông tin và Truyền thông 18 Nguyễn Du,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cung cấp dịch vụ chứng thực chữ ký số công cộng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51/2005/QH11</w:t>
            </w:r>
          </w:p>
        </w:tc>
        <w:tc>
          <w:p/>
          <w:p>
            <w:pPr>
              <w:spacing w:after="0" w:before="0" w:lineRule="auto" w:line="276"/>
              <w:jc w:val="left"/>
            </w:pPr>
            <w:r>
              <w:rPr>
                <w:rFonts w:ascii="Times New Roman" w:hAnsi="Times New Roman" w:cs="Times New Roman" w:eastAsia="Times New Roman"/>
                <w:b w:val="false"/>
                <w:sz w:val="26"/>
              </w:rPr>
              <w:t>Luật 51/2005/QH11</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130/2018/NĐ-CP</w:t>
            </w:r>
          </w:p>
        </w:tc>
        <w:tc>
          <w:p/>
          <w:p>
            <w:pPr>
              <w:spacing w:after="0" w:before="0" w:lineRule="auto" w:line="276"/>
              <w:jc w:val="left"/>
            </w:pPr>
            <w:r>
              <w:rPr>
                <w:rFonts w:ascii="Times New Roman" w:hAnsi="Times New Roman" w:cs="Times New Roman" w:eastAsia="Times New Roman"/>
                <w:b w:val="false"/>
                <w:sz w:val="26"/>
              </w:rPr>
              <w:t>Nghị định 130/2018/NĐ-CP</w:t>
            </w:r>
          </w:p>
        </w:tc>
        <w:tc>
          <w:p/>
          <w:p>
            <w:pPr>
              <w:spacing w:after="0" w:before="0" w:lineRule="auto" w:line="276"/>
              <w:jc w:val="left"/>
            </w:pPr>
            <w:r>
              <w:rPr>
                <w:rFonts w:ascii="Times New Roman" w:hAnsi="Times New Roman" w:cs="Times New Roman" w:eastAsia="Times New Roman"/>
                <w:b w:val="false"/>
                <w:sz w:val="26"/>
              </w:rPr>
              <w:t>27-09-2018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về chủ thể:
- Là doanh nghiệp thành lập theo pháp luật Việt Nam.
2. Điều kiện về tài chính:
- Ký quỹ tại một ngân hàng thương mại hoạt động tại Việt Nam không dưới 05 (năm) tỷ đồng để giải quyết các rủi ro và các khoản đền bù có thể xảy ra trong quá trình cung cấp dịch vụ do lỗi của tổ chức cung cấp dịch vụ chứng thực chữ ký số công cộng và thanh toán chi phí tiếp nhận và duy trì cơ sở dữ liệu của doanh nghiệp trong trường hợp bị thu hồi giấy phép;
3. Điều kiện về nhân sự:
a) Doanh nghiệp phải có nhân sự chịu trách nhiệm: Quản trị hệ thống, vận hành hệ thống và cấp chứng thư số, bảo đảm an toàn thông tin của hệ thống;
b) Nhân sự quy định tại điểm a khoản 3 Điều 13 Nghị định số 130/2018/NĐ-CP phải có bằng đại học trở lên, chuyên ngành an toàn thông tin hoặc công nghệ thông tin hoặc điện tử viễn thông.
4. Điều kiện về kỹ thuật:
a) Thiết lập hệ thống thiết bị kỹ thuật đảm bảo các yêu cầu sau:
- Lưu trữ đầy đủ, chính xác và cập nhật thông tin của thuê bao phục vụ việc cấp chứng thư số trong suốt thời gian chứng thư số có hiệu lực;
- Lưu trữ đầy đủ, chính xác, cập nhật danh sách các chứng thư số có hiệu lực, đang tạm dừng và đã hết hiệu lực và cho phép và hướng dẫn người sử dụng Internet truy nhập trực tuyến 24 giờ trong ngày và 7 ngày trong tuần;
- Đảm bảo tạo cặp khoá chỉ cho phép mỗi cặp khoá được tạo ra ngẫu nhiên và đúng một lần duy nhất; có tính năng đảm bảo khoá bí mật không bị phát hiện khi có khoá công khai tương ứng;
- Có tính năng cảnh báo, ngăn chặn và phát hiện truy nhập bất hợp pháp trên môi trường mạng;
- Được thiết kế theo xu hướng giảm thiểu tối đa sự tiếp xúc trực tiếp với môi trường Internet;
- Hệ thống phân phối khóa cho thuê bao phải đảm bảo sự toàn vẹn và bảo mật của cặp khoá. Trong trường hợp phân phối khoá thông qua môi trường mạng máy tính thì hệ thống phân phối khoá phải sử dụng các giao thức bảo mật đảm bảo không lộ thông tin trên đường truyền.
b) Có phương án kỹ thuật đáp ứng các yêu cầu đảm bảo an toàn hệ thống thông tin và các quy chuẩn kỹ thuật và tiêu chuẩn bắt buộc áp dụng về chữ ký số và dịch vụ chứng thực chữ ký số đang có hiệu lực;
c) Có các phương án kiểm soát sự ra vào trụ sở, quyền truy nhập hệ thống, quyền ra vào nơi đặt thiết bị phục vụ việc cung cấp dịch vụ chứng thực chữ ký số;
d) Có các phương án dự phòng đảm bảo duy trì hoạt động an toàn, liên tục và khắc phục khi có sự cố xảy ra;
đ) Có phương án cung cấp trực tuyến thông tin thuê bao cho Tổ chức cung cấp dịch vụ chứng thực chữ ký số quốc gia, phục vụ công tác quản lý nhà nước về dịch vụ chứng thực chữ ký số;
e) Toàn bộ hệ thống thiết bị sử dụng để cung cấp dịch vụ đặt tại Việt Nam;
g) Có trụ sở, nơi đặt máy móc, thiết bị phù hợp với yêu cầu của pháp luật về phòng, chống cháy, nổ; có khả năng chống chịu lũ, lụt, động đất, nhiễu điện từ, sự xâm nhập bất hợp pháp của con người;
h) Có quy chế chứng thực theo mẫu quy định tại quy chế chứng thực của Tổ chức cung cấp dịch vụ chứng thực chữ ký số quốc gia.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2026-05-20T05:05:39Z</dcterms:created>
  <dc:creator>Apache POI</dc:creator>
</cp:coreProperties>
</file>