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2.001449.000.00.00.H56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thôi làm tuyên truyền viên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tuyên truyền viên pháp luật thuộc một trong các trường hợp cho thôi làm tuyên truyền viên pháp luật theo quy định, công chức tư pháp - hộ tịch trình Chủ tịch Ủy ban nhân dân cấp xã xem xét, ra quyết định cho thôi làm tuyên truyền viên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đề nghị của công chức tư pháp - hộ tịch, Chủ tịch Ủy ban nhân dân cấp xã xem xét, quyết định cho thôi làm tuyên truyền viên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đề nghị của công chức tư pháp - hộ tịch, Chủ tịch Ủy ban nhân dân cấp xã xem xét, quyết định cho thôi làm tuyên truyền viên pháp luật.
-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đề nghị của công chức tư pháp - hộ tịch, Chủ tịch Ủy ban nhân dân cấp xã xem xét, quyết định cho thôi làm tuyên truyền viên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Không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hồ sơ và trả kết quả của UBND cấp xã; -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thôi tuyên truyền viên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14/2012/QH13</w:t>
            </w:r>
          </w:p>
        </w:tc>
        <w:tc>
          <w:p/>
          <w:p>
            <w:pPr>
              <w:spacing w:after="0" w:before="0" w:lineRule="auto" w:line="276"/>
              <w:jc w:val="left"/>
            </w:pPr>
            <w:r>
              <w:rPr>
                <w:rFonts w:ascii="Times New Roman" w:hAnsi="Times New Roman" w:cs="Times New Roman" w:eastAsia="Times New Roman"/>
                <w:b w:val="false"/>
                <w:sz w:val="26"/>
              </w:rPr>
              <w:t>biến, giáo dục pháp luật</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Phổ biến, giáo dục pháp luật</w:t>
            </w:r>
          </w:p>
        </w:tc>
        <w:tc>
          <w:p/>
          <w:p>
            <w:pPr>
              <w:spacing w:after="0" w:before="0" w:lineRule="auto" w:line="276"/>
              <w:jc w:val="left"/>
            </w:pPr>
            <w:r>
              <w:rPr>
                <w:rFonts w:ascii="Times New Roman" w:hAnsi="Times New Roman" w:cs="Times New Roman" w:eastAsia="Times New Roman"/>
                <w:b w:val="false"/>
                <w:sz w:val="26"/>
              </w:rPr>
              <w:t>04-04-2013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10/2016/TT-BTP</w:t>
            </w:r>
          </w:p>
        </w:tc>
        <w:tc>
          <w:p/>
          <w:p>
            <w:pPr>
              <w:spacing w:after="0" w:before="0" w:lineRule="auto" w:line="276"/>
              <w:jc w:val="left"/>
            </w:pPr>
            <w:r>
              <w:rPr>
                <w:rFonts w:ascii="Times New Roman" w:hAnsi="Times New Roman" w:cs="Times New Roman" w:eastAsia="Times New Roman"/>
                <w:b w:val="false"/>
                <w:sz w:val="26"/>
              </w:rPr>
              <w:t>Quy định về báo cáo viên pháp luật, tuyên truyền viên pháp luật</w:t>
            </w:r>
          </w:p>
        </w:tc>
        <w:tc>
          <w:p/>
          <w:p>
            <w:pPr>
              <w:spacing w:after="0" w:before="0" w:lineRule="auto" w:line="276"/>
              <w:jc w:val="left"/>
            </w:pPr>
            <w:r>
              <w:rPr>
                <w:rFonts w:ascii="Times New Roman" w:hAnsi="Times New Roman" w:cs="Times New Roman" w:eastAsia="Times New Roman"/>
                <w:b w:val="false"/>
                <w:sz w:val="26"/>
              </w:rPr>
              <w:t>22-07-2016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cho thôi làm tuyên truyền viên pháp luật được thực hiện khi tuyên truyền viên pháp luật thuộc một trong các trường hợp sau đây:
+ Tự nguyện xin thôi làm tuyên truyền viên pháp luật vì lý do sức khỏe, hoàn cảnh gia đình hoặc vì lý do chính đáng khác;
+ Thực hiện một trong các hành vi bị cấm theo quy định tại Điều 9 Luật phổ biến, giáo dục pháp luật;
+ Bị Tòa án kết án và bản án đã có hiệu lực pháp luật;
+ Mất năng lực hành vi dân sự hoặc có khó khăn trong nhận thức, làm chủ hành vi hoặc hạn chế năng lực hành vi dân sự theo quy định của Bộ luật dân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2026-05-20T08:03:17Z</dcterms:created>
  <dc:creator>Apache POI</dc:creator>
</cp:coreProperties>
</file>