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2.000181.000.00.00.H01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1154/QĐ-UBND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bán lẻ sản phẩm thuốc lá</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Thương nhân bán lẻ sản phẩm thuốc lá gửi 01 bộ hồ sơ về Phòng Kinh tế/ Kinh tế - Hạ tầng.
+ Trong thời hạn 15 ngày làm việc kể từ ngày nhận đủ hồ sơ hợp lệ, Phòng Kinh tế/ Kinh tế - Hạ tầng xem xét và cấp giấy phép bán lẻ sản phẩm thuốc lá. Trường hợp thương nhân không đáp ứng được điều kiện theo quy định, Phòng Kinh tế/ Kinh tế - Hạ tầng sẽ có văn bản trả lời từ chối cấp phép và nêu rõ lý do
+ Trường hợp chưa đủ hồ sơ hợp lệ, trong vòng 07 ngày làm việc kể từ ngày tiếp nhận hồ sơ của thương nhân, Phòng Kinh tế/ Kinh tế - Hạ tầng có văn bản yêu cầu thương nhân bổ sung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(Phí thẩm định: - Thành phố/ Thị xã:  + Doanh nghiệp: 1.200.000 đồng/điểm kinh doanh/lần thẩm định. + Hộ kinh doanh: 400.000 đồng/điểm kinh doanh/lần thẩm định. - Địa bàn khác:  + Doanh nghiệp: 600.000 đồng/điểm kinh doanh/lần thẩm định. + Hộ kinh doanh: 200.000 đồng/điểm kinh doanh/lần thẩm định.)</w:t>
            </w:r>
          </w:p>
          <w:p>
            <w:pPr>
              <w:spacing w:after="0" w:before="0" w:lineRule="auto" w:line="276"/>
              <w:jc w:val="left"/>
            </w:pPr>
            <w:r>
              <w:rPr>
                <w:rFonts w:ascii="Times New Roman" w:hAnsi="Times New Roman" w:cs="Times New Roman" w:eastAsia="Times New Roman"/>
                <w:b w:val="false"/>
                <w:sz w:val="26"/>
              </w:rPr>
              <w:t xml:space="preserve">Lệ phí :  </w:t>
              <w:t xml:space="preserve"> (Không quy định)</w:t>
            </w:r>
          </w:p>
        </w:tc>
        <w:tc>
          <w:p/>
          <w:p>
            <w:pPr>
              <w:spacing w:after="0" w:before="0" w:lineRule="auto" w:line="276"/>
              <w:jc w:val="left"/>
            </w:pPr>
            <w:r>
              <w:rPr>
                <w:rFonts w:ascii="Times New Roman" w:hAnsi="Times New Roman" w:cs="Times New Roman" w:eastAsia="Times New Roman"/>
                <w:b w:val="false"/>
                <w:sz w:val="26"/>
              </w:rPr>
              <w:t>15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(Phí thẩm định: - Thành phố/ Thị xã:  + Doanh nghiệp: 1.200.000 đồng/điểm kinh doanh/lần thẩm định. + Hộ kinh doanh: 400.000 đồng/điểm kinh doanh/lần thẩm định. - Địa bàn khác:  + Doanh nghiệp: 600.000 đồng/điểm kinh doanh/lần thẩm định. + Hộ kinh doanh: 200.000 đồng/điểm kinh doanh/lần thẩm định.)</w:t>
            </w:r>
          </w:p>
          <w:p>
            <w:pPr>
              <w:spacing w:after="0" w:before="0" w:lineRule="auto" w:line="276"/>
              <w:jc w:val="left"/>
            </w:pPr>
            <w:r>
              <w:rPr>
                <w:rFonts w:ascii="Times New Roman" w:hAnsi="Times New Roman" w:cs="Times New Roman" w:eastAsia="Times New Roman"/>
                <w:b w:val="false"/>
                <w:sz w:val="26"/>
              </w:rPr>
              <w:t xml:space="preserve">Lệ phí :  </w:t>
              <w:t xml:space="preserve"> (Không quy định)</w:t>
            </w:r>
          </w:p>
        </w:tc>
        <w:tc>
          <w:p/>
          <w:p>
            <w:pPr>
              <w:spacing w:after="0" w:before="0" w:lineRule="auto" w:line="276"/>
              <w:jc w:val="left"/>
            </w:pPr>
            <w:r>
              <w:rPr>
                <w:rFonts w:ascii="Times New Roman" w:hAnsi="Times New Roman" w:cs="Times New Roman" w:eastAsia="Times New Roman"/>
                <w:b w:val="false"/>
                <w:sz w:val="26"/>
              </w:rPr>
              <w:t>15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(Phí thẩm định: - Thành phố/ Thị xã:  + Doanh nghiệp: 1.200.000 đồng/điểm kinh doanh/lần thẩm định. + Hộ kinh doanh: 400.000 đồng/điểm kinh doanh/lần thẩm định. - Địa bàn khác:  + Doanh nghiệp: 600.000 đồng/điểm kinh doanh/lần thẩm định. + Hộ kinh doanh: 200.000 đồng/điểm kinh doanh/lần thẩm định.)</w:t>
            </w:r>
          </w:p>
          <w:p>
            <w:pPr>
              <w:spacing w:after="0" w:before="0" w:lineRule="auto" w:line="276"/>
              <w:jc w:val="left"/>
            </w:pPr>
            <w:r>
              <w:rPr>
                <w:rFonts w:ascii="Times New Roman" w:hAnsi="Times New Roman" w:cs="Times New Roman" w:eastAsia="Times New Roman"/>
                <w:b w:val="false"/>
                <w:sz w:val="26"/>
              </w:rPr>
              <w:t xml:space="preserve">Lệ phí :  </w:t>
              <w:t xml:space="preserve"> (Không quy định)</w:t>
            </w:r>
          </w:p>
        </w:tc>
        <w:tc>
          <w:p/>
          <w:p>
            <w:pPr>
              <w:spacing w:after="0" w:before="0" w:lineRule="auto" w:line="276"/>
              <w:jc w:val="left"/>
            </w:pPr>
            <w:r>
              <w:rPr>
                <w:rFonts w:ascii="Times New Roman" w:hAnsi="Times New Roman" w:cs="Times New Roman" w:eastAsia="Times New Roman"/>
                <w:b w:val="false"/>
                <w:sz w:val="26"/>
              </w:rPr>
              <w:t>15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bán lẻ sản phẩm thuốc lá.</w:t>
            </w:r>
          </w:p>
        </w:tc>
        <w:tc>
          <w:p/>
          <w:p>
            <w:pPr>
              <w:spacing w:after="0" w:before="0" w:lineRule="auto" w:line="276"/>
              <w:jc w:val="left"/>
            </w:pPr>
            <w:r>
              <w:rPr>
                <w:rFonts w:ascii="Times New Roman" w:hAnsi="Times New Roman" w:cs="Times New Roman" w:eastAsia="Times New Roman"/>
                <w:b w:val="false"/>
                <w:sz w:val="26"/>
              </w:rPr>
              <w:t>ThuocLaBanLeDOn.docx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doanh nghiệp hoặc Giấy chứng nhận đăng ký kinh doanh và Giấy chứng nhận mã số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các văn bản giới thiệu của các thương nhân phân phối hoặc thương nhân bán buôn sản phẩm thuốc lá ghi rõ địa bàn dự kiến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Số lượng hồ sơ: 02 bộ, trong đó 01 bộ gửi cơ quan có thẩm quyền cấp phép, 01 bộ lưu tại doanh nghiệp hoặc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Kinh tế và Hạ tầng, Phòng Kinh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bán lẻ sản phẩm thuốc lá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09/2012/QH13</w:t>
            </w:r>
          </w:p>
        </w:tc>
        <w:tc>
          <w:p/>
          <w:p>
            <w:pPr>
              <w:spacing w:after="0" w:before="0" w:lineRule="auto" w:line="276"/>
              <w:jc w:val="left"/>
            </w:pPr>
            <w:r>
              <w:rPr>
                <w:rFonts w:ascii="Times New Roman" w:hAnsi="Times New Roman" w:cs="Times New Roman" w:eastAsia="Times New Roman"/>
                <w:b w:val="false"/>
                <w:sz w:val="26"/>
              </w:rPr>
              <w:t>Luật Phòng, chống tác hại của thuốc lá</w:t>
            </w:r>
          </w:p>
        </w:tc>
        <w:tc>
          <w:p/>
          <w:p>
            <w:pPr>
              <w:spacing w:after="0" w:before="0" w:lineRule="auto" w:line="276"/>
              <w:jc w:val="left"/>
            </w:pPr>
            <w:r>
              <w:rPr>
                <w:rFonts w:ascii="Times New Roman" w:hAnsi="Times New Roman" w:cs="Times New Roman" w:eastAsia="Times New Roman"/>
                <w:b w:val="false"/>
                <w:sz w:val="26"/>
              </w:rPr>
              <w:t>18-06-2012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67/2013/NĐ-CP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Phòng, chống tác hại của thuốc lá về kinh doanh thuốc lá</w:t>
            </w:r>
          </w:p>
        </w:tc>
        <w:tc>
          <w:p/>
          <w:p>
            <w:pPr>
              <w:spacing w:after="0" w:before="0" w:lineRule="auto" w:line="276"/>
              <w:jc w:val="left"/>
            </w:pPr>
            <w:r>
              <w:rPr>
                <w:rFonts w:ascii="Times New Roman" w:hAnsi="Times New Roman" w:cs="Times New Roman" w:eastAsia="Times New Roman"/>
                <w:b w:val="false"/>
                <w:sz w:val="26"/>
              </w:rPr>
              <w:t>27-06-2013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106/2017/NĐ-CP</w:t>
            </w:r>
          </w:p>
        </w:tc>
        <w:tc>
          <w:p/>
          <w:p>
            <w:pPr>
              <w:spacing w:after="0" w:before="0" w:lineRule="auto" w:line="276"/>
              <w:jc w:val="left"/>
            </w:pPr>
            <w:r>
              <w:rPr>
                <w:rFonts w:ascii="Times New Roman" w:hAnsi="Times New Roman" w:cs="Times New Roman" w:eastAsia="Times New Roman"/>
                <w:b w:val="false"/>
                <w:sz w:val="26"/>
              </w:rPr>
              <w:t>Nghị định 106/2017/NĐ-CP</w:t>
            </w:r>
          </w:p>
        </w:tc>
        <w:tc>
          <w:p/>
          <w:p>
            <w:pPr>
              <w:spacing w:after="0" w:before="0" w:lineRule="auto" w:line="276"/>
              <w:jc w:val="left"/>
            </w:pPr>
            <w:r>
              <w:rPr>
                <w:rFonts w:ascii="Times New Roman" w:hAnsi="Times New Roman" w:cs="Times New Roman" w:eastAsia="Times New Roman"/>
                <w:b w:val="false"/>
                <w:sz w:val="26"/>
              </w:rPr>
              <w:t>14-09-2017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57/2018/TT-BCT</w:t>
            </w:r>
          </w:p>
        </w:tc>
        <w:tc>
          <w:p/>
          <w:p>
            <w:pPr>
              <w:spacing w:after="0" w:before="0" w:lineRule="auto" w:line="276"/>
              <w:jc w:val="left"/>
            </w:pPr>
            <w:r>
              <w:rPr>
                <w:rFonts w:ascii="Times New Roman" w:hAnsi="Times New Roman" w:cs="Times New Roman" w:eastAsia="Times New Roman"/>
                <w:b w:val="false"/>
                <w:sz w:val="26"/>
              </w:rPr>
              <w:t>Thông tư 57/2018/TT-BCT</w:t>
            </w:r>
          </w:p>
        </w:tc>
        <w:tc>
          <w:p/>
          <w:p>
            <w:pPr>
              <w:spacing w:after="0" w:before="0" w:lineRule="auto" w:line="276"/>
              <w:jc w:val="left"/>
            </w:pPr>
            <w:r>
              <w:rPr>
                <w:rFonts w:ascii="Times New Roman" w:hAnsi="Times New Roman" w:cs="Times New Roman" w:eastAsia="Times New Roman"/>
                <w:b w:val="false"/>
                <w:sz w:val="26"/>
              </w:rPr>
              <w:t>28-12-2018</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168/2016/TT-BTC</w:t>
            </w:r>
          </w:p>
        </w:tc>
        <w:tc>
          <w:p/>
          <w:p>
            <w:pPr>
              <w:spacing w:after="0" w:before="0" w:lineRule="auto" w:line="276"/>
              <w:jc w:val="left"/>
            </w:pPr>
            <w:r>
              <w:rPr>
                <w:rFonts w:ascii="Times New Roman" w:hAnsi="Times New Roman" w:cs="Times New Roman" w:eastAsia="Times New Roman"/>
                <w:b w:val="false"/>
                <w:sz w:val="26"/>
              </w:rPr>
              <w:t>Thông tư 168/2016/TT-BTC</w:t>
            </w:r>
          </w:p>
        </w:tc>
        <w:tc>
          <w:p/>
          <w:p>
            <w:pPr>
              <w:spacing w:after="0" w:before="0" w:lineRule="auto" w:line="276"/>
              <w:jc w:val="left"/>
            </w:pPr>
            <w:r>
              <w:rPr>
                <w:rFonts w:ascii="Times New Roman" w:hAnsi="Times New Roman" w:cs="Times New Roman" w:eastAsia="Times New Roman"/>
                <w:b w:val="false"/>
                <w:sz w:val="26"/>
              </w:rPr>
              <w:t>26-10-2016</w:t>
            </w:r>
          </w:p>
        </w:tc>
        <w:tc>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liên quan đến điều kiện đầu tư kinh doanh thuộc lĩnh vực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05-02-2020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28/2019/TT-BCT</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57/2018/TT-BCT ngày 26 tháng 12 năm 2018 của Bộ trưởng Bộ Công Thương quy định chi tiết một số điều của các Nghị định liên quan đến kinh doanh thuốc lá</w:t>
            </w:r>
          </w:p>
        </w:tc>
        <w:tc>
          <w:p/>
          <w:p>
            <w:pPr>
              <w:spacing w:after="0" w:before="0" w:lineRule="auto" w:line="276"/>
              <w:jc w:val="left"/>
            </w:pPr>
            <w:r>
              <w:rPr>
                <w:rFonts w:ascii="Times New Roman" w:hAnsi="Times New Roman" w:cs="Times New Roman" w:eastAsia="Times New Roman"/>
                <w:b w:val="false"/>
                <w:sz w:val="26"/>
              </w:rPr>
              <w:t>15-11-2019</w:t>
            </w:r>
          </w:p>
        </w:tc>
        <w:tc>
          <w:p/>
          <w:p>
            <w:pPr>
              <w:spacing w:after="0" w:before="0" w:lineRule="auto" w:line="276"/>
              <w:jc w:val="left"/>
            </w:pPr>
            <w:r>
              <w:rPr>
                <w:rFonts w:ascii="Times New Roman" w:hAnsi="Times New Roman" w:cs="Times New Roman" w:eastAsia="Times New Roman"/>
                <w:b w:val="false"/>
                <w:sz w:val="26"/>
              </w:rPr>
              <w:t>Bộ Công thương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Thương nhân được thành lập theo quy định của pháp luật;
b) Địa điểm kinh doanh không vi phạm quy định về địa điểm không được bán thuốc lá theo quy định tại Khoản 2 Điều 25 (Bán thuốc lá) Luật Phòng, chống tác hại của thuốc lá năm 2012 ;
c) Có văn bản giới thiệu của các thương nhân phân phối hoặc thương nhân bán buôn sản phẩm thuốc lá ghi rõ địa bàn dự kiến kinh doanh;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2026-05-21T16:40:35Z</dcterms:created>
  <dc:creator>Apache POI</dc:creator>
</cp:coreProperties>
</file>