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2.002165.000.00.00.H56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yêu cầu bồi thường tại cơ quan trực tiếp quản lý người thi hành công vụ gây thiệt hại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Bồi thường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Trình tự thực hiện
- Tiếp nhận và xử lý hồ sơ;
Cơ quan giải quyết bồi thường khai thác, sử dụng thông tin trên cơ sở dữ
liệu quốc gia, cơ sở dữ liệu chuyên ngành:
Đối với giấy tờ chứng minh nhân thân là Chứng minh nhân dân/Căn cước
công dân/Thẻ Căn cước/Giấy chứng nhận căn cước, người yêu cầu bồi thường
có thể cung cấp thông tin về giấy tờ (số, ngày cấp, nơi cấp, ngày hết hạn) để cơ
quan giải quyết bồi thường khai thác, sử dụng thông tin trong Cơ sở dữ liệu
quốc gia về dân cư thay cho giấy tờ phải nộp.
Trường hợp không khai thác được hoặc thông tin khai thác được không
đầy đủ, không chính xác thì thực hiện như sau:
+ Trường hợp người yêu cầu bồi thường nộp hồ sơ trực tuyến trên Cổng
Dịch vụ công quốc gia, cơ quan giải quyết bồi thường phải có thông báo yêu
cầu bổ sung, hoàn thiện hồ sơ cho người yêu cầu bồi thường trong thời hạn 05
ngày làm việc kể từ khi Hệ thống thông tin giải quyết thủ tục hành chính tiếp
nhận hồ sơ theo quy định tại khoản 2 Điều 42 Luật TNBTCNN. Việc thông báo
được thực hiện bằng một hoặc nhiều phương thức: gửi đến tài khoản cá nhân
trên Cổng Dịch vụ công quốc gia; gửi tin nhắn hoặc liên hệ qua số điện thoại,
hộp thư điện tử do người yêu cầu cung cấp.
+ Trường hợp người yêu cầu bồi thường nộp hồ sơ trực tiếp hoặc qua
dịch vụ bưu chính, cơ quan giải quyết bồi thường phải có thông báo yêu cầu bổ
sung, hoàn thiện hồ sơ cho người yêu cầu bồi thường trong thời hạn 05 ngày
làm việc kể từ ngày nhận được hồ sơ theo quy định tại khoản 2 Điều 42 Luật
TNBTCNN.
- Thụ lý hồ sơ;
- Cử người giải quyết bồi thường;
- Tạm ứng kinh phí bồi thường thiệt hại;
- Xác minh thiệt hại;
- Thương lượng việc bồi thường;
- Ra quyết định giải quyết bồi thường (sau khi ra quyết định giải quyết bồi
thường, cơ quan trực tiếp quản lý người thi hành công vụ gây thiệt hại phải lập
hồ sơ đề nghị cấp kinh phí bồi thường đến Bộ Tài chính để đề nghị cấp kinh phí
bồi thường và chi trả tiền bồi thường cho người yêu cầu bồi thường)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https://dichvucong.gov.vn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a.Trường hợp người bị thiệt hại trực tiếp yêu cầu bồi thường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bồi thường;</w:t>
            </w:r>
          </w:p>
        </w:tc>
        <w:tc>
          <w:p/>
          <w:p>
            <w:pPr>
              <w:spacing w:after="0" w:before="0" w:lineRule="auto" w:line="276"/>
              <w:jc w:val="left"/>
            </w:pPr>
            <w:r>
              <w:rPr>
                <w:rFonts w:ascii="Times New Roman" w:hAnsi="Times New Roman" w:cs="Times New Roman" w:eastAsia="Times New Roman"/>
                <w:b w:val="false"/>
                <w:sz w:val="26"/>
              </w:rPr>
              <w:t>Mu01-vanbanYCBT-BTNN.pdf</w:t>
            </w:r>
          </w:p>
          <w:p>
            <w:pPr>
              <w:spacing w:after="0" w:before="0" w:lineRule="auto" w:line="276"/>
              <w:jc w:val="left"/>
            </w:pPr>
            <w:r>
              <w:rPr>
                <w:rFonts w:ascii="Times New Roman" w:hAnsi="Times New Roman" w:cs="Times New Roman" w:eastAsia="Times New Roman"/>
                <w:b w:val="false"/>
                <w:sz w:val="26"/>
              </w:rPr>
              <w:t>Mu01-vanbanYCBT-BTNN.docx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làm căn cứ yêu cầu bồi thường, trừ trường hợp người bị thiệt hại không được gửi hoặc không thể có văn bản làm căn cứ yêu cầu bồi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nhân thân của người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cứ có liên quan đến việc yêu cầu bồi thường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Lưu ý:  Giấy tờ chứng minh nhân thân của người bị thiệt hại: Đối với Chứng minh nhân dân, Căn cước công dân, Thẻ Căn cước hoặc Giấy chứng nhận căn cước, người bị thiệt hại chỉ nộp trong trường hợp cơ quan giải quyết bồi thường không khai thác được thông tin trong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Trường hợp người yêu cầu bồi thường là người thừa kế (nếu có nhiều người thừa kế thì những người thừa kế đó phải cử ra một người đại diện) hoặc là người đại diện của người bị thiệt hại thì ngoài các tài liệu quy định tại các điểm a, b và d khoản 1 Điều 41 Luật TNBTCNN năm 2017, hồ sơ còn phải có các tài liệu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nhân thân của người yêu cầu bồi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Đối với Chứng minh nhân dân, Căn cước công dân, Thẻ Căn cước hoặc Giấy chứng nhận căn cước, người yêu cầu bồi thường chỉ nộp trong trường hợp cơ quan giải quyết bồi thường không khai thác được thông tin trong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hợp pháp trong trường hợp đại diện theo ủy quyền;  Trường hợp người bị thiệt hại chết mà có di chúc thì người yêu cầu bồi thường phải cung cấp di chúc, trường hợp không có di chúc thì phải có văn bản hợp pháp về quyền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bồi thường trực tiếp nộp   hồ sơ thì các giấy tờ, tài liệu và chứng cứ quy định tại các điểm b, c, d khoản 1 và khoản 2 Điều 41 Luật TNBTCNN năm 2017 là bản sao nhưng phải có bản chính để đối chiếu; trường hợp người yêu cầu bồi thường gửi hồ sơ qua dịch vụ bưu chính thì các giấy tờ, tài liệu và chứng cứ quy định tại các điểm b, c, d khoản 1 và khoản 2 Điều 41 Luật TNBTCNN năm 2017 là bản sao có chứng thực theo quy định của pháp luật về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trực tiếp quản lý người thi hành công vụ gây thiệt hại trong hoạt động quản lý hành chính quy định tại Điều 33 của Luật TNBTCNN năm 2017 ở cấp xã,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trực tiếp quản lý người thi hành công vụ gây thiệt hại trong hoạt động quản lý hành chính quy định tại Điều 33 của Luật TNBTCNN năm 2017 ở cấp xã, 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Trung tâm Phục vụ hành chính công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bồi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10/2017/QH14</w:t>
            </w:r>
          </w:p>
        </w:tc>
        <w:tc>
          <w:p/>
          <w:p>
            <w:pPr>
              <w:spacing w:after="0" w:before="0" w:lineRule="auto" w:line="276"/>
              <w:jc w:val="left"/>
            </w:pPr>
            <w:r>
              <w:rPr>
                <w:rFonts w:ascii="Times New Roman" w:hAnsi="Times New Roman" w:cs="Times New Roman" w:eastAsia="Times New Roman"/>
                <w:b w:val="false"/>
                <w:sz w:val="26"/>
              </w:rPr>
              <w:t>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68/2018/NĐ-CP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04/2018/TT-BTP</w:t>
            </w:r>
          </w:p>
        </w:tc>
        <w:tc>
          <w:p/>
          <w:p>
            <w:pPr>
              <w:spacing w:after="0" w:before="0" w:lineRule="auto" w:line="276"/>
              <w:jc w:val="left"/>
            </w:pPr>
            <w:r>
              <w:rPr>
                <w:rFonts w:ascii="Times New Roman" w:hAnsi="Times New Roman" w:cs="Times New Roman" w:eastAsia="Times New Roman"/>
                <w:b w:val="false"/>
                <w:sz w:val="26"/>
              </w:rPr>
              <w:t>Thông tư ban hành một số biểu mẫu trong công tác bồi thường nhà nước</w:t>
            </w:r>
          </w:p>
        </w:tc>
        <w:tc>
          <w:p/>
          <w:p>
            <w:pPr>
              <w:spacing w:after="0" w:before="0" w:lineRule="auto" w:line="276"/>
              <w:jc w:val="left"/>
            </w:pPr>
            <w:r>
              <w:rPr>
                <w:rFonts w:ascii="Times New Roman" w:hAnsi="Times New Roman" w:cs="Times New Roman" w:eastAsia="Times New Roman"/>
                <w:b w:val="false"/>
                <w:sz w:val="26"/>
              </w:rPr>
              <w:t>17-05-2018</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một trong các căn cứ xác định hành vi trái pháp luật của người thi hành công vụ gây thiệt hại và yêu cầu bồi thường tương ứng quy định tại khoản 2 Điều 7 Luật TNBTCNN năm 2017;
- Có thiệt hại thực tế của người bị thiệt hại thuộc phạm vi trách nhiệm bồi thường của Nhà nước theo quy định của Luật TNBTCNN năm 2017;
- Có mối quan hệ nhân quả giữa thiệt hại thực tế và hành vi gây thiệt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2026-05-20T08:03:30Z</dcterms:created>
  <dc:creator>Apache POI</dc:creator>
</cp:coreProperties>
</file>