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2.000946.000.00.00.H52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với chủ đầu tư dự án phát triển nhà ở
- Sau khi hoàn thành công trình, chủ đầu tư dự án phát triển nhà ở có trách nhiệm gửi hồ sơ đến Sở Tài nguyên và Môi trường.
Trường hợp nhận hồ sơ chưa đầy đủ, chưa hợp lệ thì trong thời gian tối đa 03 ngày, cơ quan tiếp nhận, xử lý hồ sơ phải thông báo và hướng dẫn người nộp hồ sơ bổ sung, hoàn chỉnh hồ sơ theo quy định.
- Trong thời hạn không quá 30 ngày kể từ ngày nhận được hồ sơ hợp lệ, Sở Tài nguyên và Môi trường có trách nhiệm kiểm tra hiện trạng sử dụng đất, nhà ở và công trình đã xây dựng và điều kiện chuyển nhượng quyền sử dụng đất, bán nhà ở của chủ đầu tư dự án.
- Sau khi hoàn thành kiểm tra, Sở Tài nguyên và Môi trường có trách nhiệm:
+ Gửi thông báo cho chủ đầu tư dự án về kết quả kiểm tra;
+ Gửi thông báo kèm theo sơ đồ nhà đất đã kiểm tra cho Văn phòng đăng ký đất đai để làm thủ tục đăng ký nhà, đất cho bên mua đối với các trường hợp đủ điều kiện theo quy định của pháp luật.
+ Đăng công khai kết quả kiểm tra trên trang thông tin điện tử của Ủy ban nhân dân cấp tỉnh, của Sở Tài nguyên và Môi trường nơi có đất.
- Chủ đầu tư dự án phát triển nhà ở nộp hồ sơ thay cho người nhận chuyển nhượng quyền sử dụng đất, mua nhà ở, công trình xây dựng hoặc cung cấp hồ sơ cho bên mua để tự đi đăng ký.</w:t>
      </w:r>
    </w:p>
    <w:p>
      <w:pPr>
        <w:spacing w:after="0" w:before="0" w:lineRule="auto" w:line="276"/>
        <w:jc w:val="both"/>
      </w:pPr>
      <w:r>
        <w:rPr>
          <w:rFonts w:ascii="Times New Roman" w:hAnsi="Times New Roman" w:cs="Times New Roman" w:eastAsia="Times New Roman"/>
          <w:b w:val="false"/>
          <w:sz w:val="26"/>
        </w:rPr>
        <w:t>(2) Đối với người nhận chuyển nhượng quyền sử dụng đất, mua nhà ở, công trình xây dựng:
Người nhận chuyển nhượng quyền sử dụng đất, mua nhà ở, công trình xây dựng nộp hồ sơ tại Văn phòng đăng ký hoặc cơ quan tiếp nhận hồ sơ theo quy định của Ủy ban nhân dân tỉnh, thành phố trực thuộc Trung ương.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(3) Văn phòng đăng ký đất đai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Cập nhật thông tin vào hồ sơ địa chính, cơ sở dữ liệu đất đai (nếu có);
- Chuẩn bị hồ sơ để trình cơ quan có thẩm quyền cấp Giấy chứng nhận;
- Yêu cầu chủ đầu tư dự án nộp Giấy chứng nhận quyền sử dụng đất, quyền sở hữu nhà ở và tài sản khác gắn liền với đất đã được cấp để chỉnh lý vào hồ sơ địa chính, cơ sở dữ liệu đất đai.</w:t>
      </w:r>
    </w:p>
    <w:p>
      <w:pPr>
        <w:spacing w:after="0" w:before="0" w:lineRule="auto" w:line="276"/>
        <w:jc w:val="both"/>
      </w:pPr>
      <w:r>
        <w:rPr>
          <w:rFonts w:ascii="Times New Roman" w:hAnsi="Times New Roman" w:cs="Times New Roman" w:eastAsia="Times New Roman"/>
          <w:b w:val="false"/>
          <w:sz w:val="26"/>
        </w:rPr>
        <w:t>(4) Văn phòng đăng ký đất đai trao Giấy chứng nhận cho người được cấp.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 Phí thẩm định: + Khu vực đô thị: 185.000 đồng + Khu vực nông thôn: 90.000 đồng - Lệ phí: + Giấy chứng nhận quyền sử dụng đất, quyền sở hữu nhà ở và tài sản khác gắn liền với đất: 90.000 đồng/giấy. + Giấy chứng nhận chỉ có quyền sử dụng đất: 25.000 đồng/giấy + Trích lục bản đồ địa chính, văn bản, số hiệu hồ sơ địa chính: 30.000 đồng/lần)</w:t>
              <w:br/>
              <w:t>File đính kèm: NQ số 16  HĐND - 2016.doc</w:t>
            </w:r>
          </w:p>
        </w:tc>
        <w:tc>
          <w:p/>
          <w:p>
            <w:pPr>
              <w:spacing w:after="0" w:before="0" w:lineRule="auto" w:line="276"/>
              <w:jc w:val="left"/>
            </w:pPr>
            <w:r>
              <w:rPr>
                <w:rFonts w:ascii="Times New Roman" w:hAnsi="Times New Roman" w:cs="Times New Roman" w:eastAsia="Times New Roman"/>
                <w:b w:val="false"/>
                <w:sz w:val="26"/>
              </w:rPr>
              <w:t>- 10 ngày làm việc;
- Đối với các xã vùng sâu, vùng xa, vùng có điều kiện kinh tế - xã hội khó khăn và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 Phí thẩm định: + Khu vực đô thị: 185.000 đồng + Khu vực nông thôn: 90.000 đồng - Lệ phí: + Giấy chứng nhận quyền sử dụng đất, quyền sở hữu nhà ở và tài sản khác gắn liền với đất: 90.000 đồng/giấy. + Giấy chứng nhận chỉ có quyền sử dụng đất: 25.000 đồng/giấy + Trích lục bản đồ địa chính, văn bản, số hiệu hồ sơ địa chính: 30.000 đồng/lần)</w:t>
              <w:br/>
              <w:t>File đính kèm: NQ số 16  HĐND - 2016.doc</w:t>
            </w:r>
          </w:p>
        </w:tc>
        <w:tc>
          <w:p/>
          <w:p>
            <w:pPr>
              <w:spacing w:after="0" w:before="0" w:lineRule="auto" w:line="276"/>
              <w:jc w:val="left"/>
            </w:pPr>
            <w:r>
              <w:rPr>
                <w:rFonts w:ascii="Times New Roman" w:hAnsi="Times New Roman" w:cs="Times New Roman" w:eastAsia="Times New Roman"/>
                <w:b w:val="false"/>
                <w:sz w:val="26"/>
              </w:rPr>
              <w:t>- 10 ngày làm việc;
- Đối với các xã vùng sâu, vùng xa, vùng có điều kiện kinh tế - xã hội khó khăn và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chủ đầu tư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hoặc quyết định giao đất, cho thuê đất của cơ quan có thẩm quyền; chứng từ thực hiện nghĩa vụ tài chính của chủ đầu tư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nhà, đất đã xây dựng là bản vẽ mặt bằng hoàn công hoặc bản vẽ thiết kế mặt bằng có kích thước các cạnh của từng căn hộ đã bán phù hợp với hiện trạng xây dựng và hợp đồng đã ký; Giấy phép xây dựng (nếu có); Thông báo của cơ quan chuyên môn về xây dựng cho phép chủ đầu tư nghiệm thu công trình hoặc chấp thuận kết quả nghiệm thu hoàn thành công trình đưa vào sử dụng theo quy định của pháp luật về xây dựng; danh sách các căn hộ, công trình xây dựng (có các thông tin số hiệu căn hộ, diện tích đất, diện tích xây dựng và diện tích sử dụng chung, riêng của từng căn hộ; trường hợp nhà chung cư thì sơ đồ phải thể hiện phạm vi (kích thước, diện tích) phần đất sử dụng chung của các chủ căn hộ, mặt bằng xây dựng nhà chung cư, mặt bằng của từng tầng, từng căn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người mua nhà,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về chuyển nhượng quyền sử dụng đất, mua bán nhà ở, công trình xây dựng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bàn giao nhà, đất,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Chủ đầu tư dự án kinh doanh bất động sản không phải là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nhà ở và tài sản khác gắn liền với đất; chứng từ thực hiện nghĩa vụ tài chính của chủ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thiết kế mặt bằng phù hợp với hiện trạng xây dựng và hợp đồng đã ký; Thông báo của cơ quan chuyên môn về xây dựng cho phép chủ đầu tư nghiệm thu hạng mục công trình, công trình hoặc chấp thuận kết quả nghiệm thu hoàn thành hạng mục công trình, công trình đưa vào sử dụng theo quy định của pháp luật về xây dựng; danh sách các tài sản (công trình, hạng mục công trình, phần diện tích của hạng mục công trình) gồm các thông tin tên của tài sản, diện tích đất, diện tích xây dựng sử dụng chung, sử dụng riêng của từng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76/2015/NĐ-CP</w:t>
            </w:r>
          </w:p>
        </w:tc>
        <w:tc>
          <w:p/>
          <w:p>
            <w:pPr>
              <w:spacing w:after="0" w:before="0" w:lineRule="auto" w:line="276"/>
              <w:jc w:val="left"/>
            </w:pPr>
            <w:r>
              <w:rPr>
                <w:rFonts w:ascii="Times New Roman" w:hAnsi="Times New Roman" w:cs="Times New Roman" w:eastAsia="Times New Roman"/>
                <w:b w:val="false"/>
                <w:sz w:val="26"/>
              </w:rPr>
              <w:t>Nghị định 76/2015/NĐ-CP</w:t>
            </w:r>
          </w:p>
        </w:tc>
        <w:tc>
          <w:p/>
          <w:p>
            <w:pPr>
              <w:spacing w:after="0" w:before="0" w:lineRule="auto" w:line="276"/>
              <w:jc w:val="left"/>
            </w:pPr>
            <w:r>
              <w:rPr>
                <w:rFonts w:ascii="Times New Roman" w:hAnsi="Times New Roman" w:cs="Times New Roman" w:eastAsia="Times New Roman"/>
                <w:b w:val="false"/>
                <w:sz w:val="26"/>
              </w:rPr>
              <w:t>10-09-2015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 Sổ hồng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2026-05-26T19:43:29Z</dcterms:created>
  <dc:creator>Apache POI</dc:creator>
</cp:coreProperties>
</file>