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danh hiệu Lao động tiên tiến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0" w:lineRule="auto" w:line="276"/>
        <w:jc w:val="both"/>
      </w:pPr>
      <w:r>
        <w:rPr>
          <w:rFonts w:ascii="Times New Roman" w:hAnsi="Times New Roman" w:cs="Times New Roman" w:eastAsia="Times New Roman"/>
          <w:b w:val="false"/>
          <w:sz w:val="26"/>
        </w:rPr>
        <w:t>Bước 1. Phòng Nội vụ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huyện quyết định khen thưởng.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bình xét thi đua.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cá nhân được đề nghị tặng danh hiệu Lao động tiên tiến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huyện tặng thưởng Danh hiệu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2026-05-22T04:47:11Z</dcterms:created>
  <dc:creator>Apache POI</dc:creator>
</cp:coreProperties>
</file>