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1.004346.000.00.00.H36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buôn bán thuốc bảo vệ thực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(cơ sở buôn bán thuốc bảo vệ thực vật) nộp hồ sơ đến Chi cục Bảo vệ thực vật hoặc Chi cục Trồng trọt và Bảo vệ thực vật (trước 03 tháng tính đến ngày Giấy chứng nhận đủ điều kiện buôn bán thuốc bảo vệ thực vật hết hạn).
Bước 2: Tiếp nhận, kiểm tra tính hợp lệ của hồ sơ trong thời hạn 02 ngày làm việc.
Hồ sơ không hợp lệ thì trả lại hồ sơ và yêu cầu bổ sung, hoàn thiện hồ sơ.
Bước 3: Thẩm định hồ sơ trong thời hạn 03 ngày làm việc.
Trường hợp hồ sơ chưa đáp ứng được quy định, thông báo cho tổ chức, cá nhân bổ sung, hoàn thiện hồ sơ.
Bước 4: Thành lập đoàn đánh giá
Chi cục trưởng Chi cục Bảo vệ thực vật hoặc Chi cục Trồng trọt và Bảo vệ thực vật tỉnh quyết định thành lập Đoàn đánh giá trong thời hạn 05 ngày làm việc.
Trường hợp cơ sở đã được kiểm tra đánh giá xếp loại A theo quy định của Bộ trưởng Bộ Nông nghiệp và Phát triển nông thôn về việc kiểm tra, đánh giá cơ sở sản xuất kinh doanh vật tư nông nghiệp và sản phẩm nông lâm thủy sản thì không thành lập Đoàn đánh giá.
Bước 5: Đánh giá thực tế tại cơ sở
+ Đoàn đánh giá thông báo bằng văn bản cho cơ sở về kế hoạch đánh giá trước thời điểm đánh giá 05 ngày, thời gian đánh giá tại cơ sở không quá 01 ngày làm việc.
+ Không đánh giá đối với cơ sở đã được kiểm tra đánh giá xếp loại A.
Bước 6: Cấp Giấy chứng nhận đủ điều kiện buôn bán thuốc bảo vệ thực vật (theo mẫu quy định tại Phụ lục XX ban hành kèm theo Thông tư số 21/2015/TT-BNNPTNT) trong thời hạn 05 ngày làm việc.
+ Trường hợp chưa đạt yêu cầu, Chi cục Bảo vệ thực vật hoặc Chi cục Trồng trọt và Bảo vệ thực vật thông báo bằng văn bản cho cơ sở những điều kiện không đạt và yêu cầu tổ chức, cá nhân khắc phục trong vòng 60 ngày. Chi cục Bảo vệ thực vật hoặc Chi cục Trồng trọt và Bảo vệ thực vật cấp Giấy chứng nhận đủ điều kiện buôn bán thuốc bảo vệ thực vật trong thời hạn 03 ngày làm việc kể từ ngày nhận được bản báo cáo khắc phục của cơ sở hoặc kết quả kiểm tra lại.
+ Trường hợp không cấp, Chi cục Bảo vệ thực vật hoặc Chi cục Trồng trọt và Bảo vệ thực vật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800.000 đồng </w:t>
              <w:br/>
              <w:t>File đính kèm: 231_2016_TT-BTC.pdf</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800.000 đồng </w:t>
              <w:br/>
              <w:t>File đính kèm: 231_2016_TT-BTC.pdf</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800.000 đồng </w:t>
              <w:br/>
              <w:t>File đính kèm: 231_2016_TT-BTC.pdf</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buôn bán thuốc bảo vệ thực vật theo Mẫu số 03 Phụ lục III ban hành kèm theo Nghị định số 33/2026/NĐ-CP.</w:t>
            </w:r>
          </w:p>
        </w:tc>
        <w:tc>
          <w:p/>
          <w:p>
            <w:pPr>
              <w:spacing w:after="0" w:before="0" w:lineRule="auto" w:line="276"/>
              <w:jc w:val="left"/>
            </w:pPr>
            <w:r>
              <w:rPr>
                <w:rFonts w:ascii="Times New Roman" w:hAnsi="Times New Roman" w:cs="Times New Roman" w:eastAsia="Times New Roman"/>
                <w:b w:val="false"/>
                <w:sz w:val="26"/>
              </w:rPr>
              <w:t>Mus03-PhlcIII.docx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điều kiện buôn bán thuốc bảo vệ thực vật theo Mẫu số 04 Phụ lục III ban hành kèm theo Nghị định số 33/2026/NĐ-CP.</w:t>
            </w:r>
          </w:p>
        </w:tc>
        <w:tc>
          <w:p/>
          <w:p>
            <w:pPr>
              <w:spacing w:after="0" w:before="0" w:lineRule="auto" w:line="276"/>
              <w:jc w:val="left"/>
            </w:pPr>
            <w:r>
              <w:rPr>
                <w:rFonts w:ascii="Times New Roman" w:hAnsi="Times New Roman" w:cs="Times New Roman" w:eastAsia="Times New Roman"/>
                <w:b w:val="false"/>
                <w:sz w:val="26"/>
              </w:rPr>
              <w:t>Mus04-PhlcIII.docx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Lâm Đồng, 36 Trần Phú, Phường 4, Đà Lạt; hoặc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buôn bán thuốc bảo vệ thực vật theo Mẫu số 08 Phụ lục III ban hành kèm theo Nghị định số  33/2026/NĐ-CP.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21/2015/TT-BNNPTNT</w:t>
            </w:r>
          </w:p>
        </w:tc>
        <w:tc>
          <w:p/>
          <w:p>
            <w:pPr>
              <w:spacing w:after="0" w:before="0" w:lineRule="auto" w:line="276"/>
              <w:jc w:val="left"/>
            </w:pPr>
            <w:r>
              <w:rPr>
                <w:rFonts w:ascii="Times New Roman" w:hAnsi="Times New Roman" w:cs="Times New Roman" w:eastAsia="Times New Roman"/>
                <w:b w:val="false"/>
                <w:sz w:val="26"/>
              </w:rPr>
              <w:t>Thông tư 21/2015/TT-BNNPTNT</w:t>
            </w:r>
          </w:p>
        </w:tc>
        <w:tc>
          <w:p/>
          <w:p>
            <w:pPr>
              <w:spacing w:after="0" w:before="0" w:lineRule="auto" w:line="276"/>
              <w:jc w:val="left"/>
            </w:pPr>
            <w:r>
              <w:rPr>
                <w:rFonts w:ascii="Times New Roman" w:hAnsi="Times New Roman" w:cs="Times New Roman" w:eastAsia="Times New Roman"/>
                <w:b w:val="false"/>
                <w:sz w:val="26"/>
              </w:rPr>
              <w:t>08-06-2015</w:t>
            </w:r>
          </w:p>
        </w:tc>
        <w:tc>
          <w:p/>
        </w:tc>
      </w:tr>
      <w:tr>
        <w:tc>
          <w:p/>
          <w:p>
            <w:pPr>
              <w:spacing w:after="0" w:before="0" w:lineRule="auto" w:line="276"/>
              <w:jc w:val="left"/>
            </w:pPr>
            <w:r>
              <w:rPr>
                <w:rFonts w:ascii="Times New Roman" w:hAnsi="Times New Roman" w:cs="Times New Roman" w:eastAsia="Times New Roman"/>
                <w:b w:val="false"/>
                <w:sz w:val="26"/>
              </w:rPr>
              <w:t>41/2013/QH13</w:t>
            </w:r>
          </w:p>
        </w:tc>
        <w:tc>
          <w:p/>
          <w:p>
            <w:pPr>
              <w:spacing w:after="0" w:before="0" w:lineRule="auto" w:line="276"/>
              <w:jc w:val="left"/>
            </w:pPr>
            <w:r>
              <w:rPr>
                <w:rFonts w:ascii="Times New Roman" w:hAnsi="Times New Roman" w:cs="Times New Roman" w:eastAsia="Times New Roman"/>
                <w:b w:val="false"/>
                <w:sz w:val="26"/>
              </w:rPr>
              <w:t>Luật 41/2013/QH13</w:t>
            </w:r>
          </w:p>
        </w:tc>
        <w:tc>
          <w:p/>
          <w:p>
            <w:pPr>
              <w:spacing w:after="0" w:before="0" w:lineRule="auto" w:line="276"/>
              <w:jc w:val="left"/>
            </w:pPr>
            <w:r>
              <w:rPr>
                <w:rFonts w:ascii="Times New Roman" w:hAnsi="Times New Roman" w:cs="Times New Roman" w:eastAsia="Times New Roman"/>
                <w:b w:val="false"/>
                <w:sz w:val="26"/>
              </w:rPr>
              <w:t>29-08-2019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66/2016/NĐ-CP</w:t>
            </w:r>
          </w:p>
        </w:tc>
        <w:tc>
          <w:p/>
          <w:p>
            <w:pPr>
              <w:spacing w:after="0" w:before="0" w:lineRule="auto" w:line="276"/>
              <w:jc w:val="left"/>
            </w:pPr>
            <w:r>
              <w:rPr>
                <w:rFonts w:ascii="Times New Roman" w:hAnsi="Times New Roman" w:cs="Times New Roman" w:eastAsia="Times New Roman"/>
                <w:b w:val="false"/>
                <w:sz w:val="26"/>
              </w:rPr>
              <w:t>Nghị định 66/2016/NĐ-CP</w:t>
            </w:r>
          </w:p>
        </w:tc>
        <w:tc>
          <w:p/>
          <w:p>
            <w:pPr>
              <w:spacing w:after="0" w:before="0" w:lineRule="auto" w:line="276"/>
              <w:jc w:val="left"/>
            </w:pPr>
            <w:r>
              <w:rPr>
                <w:rFonts w:ascii="Times New Roman" w:hAnsi="Times New Roman" w:cs="Times New Roman" w:eastAsia="Times New Roman"/>
                <w:b w:val="false"/>
                <w:sz w:val="26"/>
              </w:rPr>
              <w:t>29-08-2019</w:t>
            </w:r>
          </w:p>
        </w:tc>
        <w:tc>
          <w:p/>
        </w:tc>
      </w:tr>
      <w:tr>
        <w:tc>
          <w:p/>
          <w:p>
            <w:pPr>
              <w:spacing w:after="0" w:before="0" w:lineRule="auto" w:line="276"/>
              <w:jc w:val="left"/>
            </w:pPr>
            <w:r>
              <w:rPr>
                <w:rFonts w:ascii="Times New Roman" w:hAnsi="Times New Roman" w:cs="Times New Roman" w:eastAsia="Times New Roman"/>
                <w:b w:val="false"/>
                <w:sz w:val="26"/>
              </w:rPr>
              <w:t>123/2018/NĐ-CP</w:t>
            </w:r>
          </w:p>
        </w:tc>
        <w:tc>
          <w:p/>
          <w:p>
            <w:pPr>
              <w:spacing w:after="0" w:before="0" w:lineRule="auto" w:line="276"/>
              <w:jc w:val="left"/>
            </w:pPr>
            <w:r>
              <w:rPr>
                <w:rFonts w:ascii="Times New Roman" w:hAnsi="Times New Roman" w:cs="Times New Roman" w:eastAsia="Times New Roman"/>
                <w:b w:val="false"/>
                <w:sz w:val="26"/>
              </w:rPr>
              <w:t>Nghị định 123/2018/NĐ-CP</w:t>
            </w:r>
          </w:p>
        </w:tc>
        <w:tc>
          <w:p/>
          <w:p>
            <w:pPr>
              <w:spacing w:after="0" w:before="0" w:lineRule="auto" w:line="276"/>
              <w:jc w:val="left"/>
            </w:pPr>
            <w:r>
              <w:rPr>
                <w:rFonts w:ascii="Times New Roman" w:hAnsi="Times New Roman" w:cs="Times New Roman" w:eastAsia="Times New Roman"/>
                <w:b w:val="false"/>
                <w:sz w:val="26"/>
              </w:rPr>
              <w:t>17-09-2018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33/2021/TT-BTC</w:t>
            </w:r>
          </w:p>
        </w:tc>
        <w:tc>
          <w:p/>
          <w:p>
            <w:pPr>
              <w:spacing w:after="0" w:before="0" w:lineRule="auto" w:line="276"/>
              <w:jc w:val="left"/>
            </w:pPr>
            <w:r>
              <w:rPr>
                <w:rFonts w:ascii="Times New Roman" w:hAnsi="Times New Roman" w:cs="Times New Roman" w:eastAsia="Times New Roman"/>
                <w:b w:val="false"/>
                <w:sz w:val="26"/>
              </w:rPr>
              <w:t>Thông tư 33/2021/TT-BTC</w:t>
            </w:r>
          </w:p>
        </w:tc>
        <w:tc>
          <w:p/>
          <w:p>
            <w:pPr>
              <w:spacing w:after="0" w:before="0" w:lineRule="auto" w:line="276"/>
              <w:jc w:val="left"/>
            </w:pPr>
            <w:r>
              <w:rPr>
                <w:rFonts w:ascii="Times New Roman" w:hAnsi="Times New Roman" w:cs="Times New Roman" w:eastAsia="Times New Roman"/>
                <w:b w:val="false"/>
                <w:sz w:val="26"/>
              </w:rPr>
              <w:t>17-05-2021</w:t>
            </w:r>
          </w:p>
        </w:tc>
        <w:tc>
          <w:p/>
        </w:tc>
      </w:tr>
      <w:tr>
        <w:tc>
          <w:p/>
          <w:p>
            <w:pPr>
              <w:spacing w:after="0" w:before="0" w:lineRule="auto" w:line="276"/>
              <w:jc w:val="left"/>
            </w:pPr>
            <w:r>
              <w:rPr>
                <w:rFonts w:ascii="Times New Roman" w:hAnsi="Times New Roman" w:cs="Times New Roman" w:eastAsia="Times New Roman"/>
                <w:b w:val="false"/>
                <w:sz w:val="26"/>
              </w:rPr>
              <w:t>11/2022/TT-BNNPTNT</w:t>
            </w:r>
          </w:p>
        </w:tc>
        <w:tc>
          <w:p/>
          <w:p>
            <w:pPr>
              <w:spacing w:after="0" w:before="0" w:lineRule="auto" w:line="276"/>
              <w:jc w:val="left"/>
            </w:pPr>
            <w:r>
              <w:rPr>
                <w:rFonts w:ascii="Times New Roman" w:hAnsi="Times New Roman" w:cs="Times New Roman" w:eastAsia="Times New Roman"/>
                <w:b w:val="false"/>
                <w:sz w:val="26"/>
              </w:rPr>
              <w:t>Thông tư số  11/2022/TT-BNNPTNT ngày 20 tháng 9 năm 2022 của Bộ trưởng Bộ Nông nghiệp và Phát triển nông thôn sửa đổi, bổ sung một số quy định về thủ tục hành chính trong lĩnh vực bảo vệ và kiểm dịch thực vật.</w:t>
            </w:r>
          </w:p>
        </w:tc>
        <w:tc>
          <w:p/>
          <w:p>
            <w:pPr>
              <w:spacing w:after="0" w:before="0" w:lineRule="auto" w:line="276"/>
              <w:jc w:val="left"/>
            </w:pPr>
            <w:r>
              <w:rPr>
                <w:rFonts w:ascii="Times New Roman" w:hAnsi="Times New Roman" w:cs="Times New Roman" w:eastAsia="Times New Roman"/>
                <w:b w:val="false"/>
                <w:sz w:val="26"/>
              </w:rPr>
              <w:t>20-09-2022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33/2026/NĐ-CP</w:t>
            </w:r>
          </w:p>
        </w:tc>
        <w:tc>
          <w:p/>
          <w:p>
            <w:pPr>
              <w:spacing w:after="0" w:before="0" w:lineRule="auto" w:line="276"/>
              <w:jc w:val="left"/>
            </w:pPr>
            <w:r>
              <w:rPr>
                <w:rFonts w:ascii="Times New Roman" w:hAnsi="Times New Roman" w:cs="Times New Roman" w:eastAsia="Times New Roman"/>
                <w:b w:val="false"/>
                <w:sz w:val="26"/>
              </w:rPr>
              <w:t>Nghị định số 33/2026/NĐ-CP ngày 21/01/2026 sửa đổi, bổ sung một số điều của các Nghị định trong lĩnh vực trồng trọt và bảo vệ thực vật.</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07/2026/TT-BNNMT</w:t>
            </w:r>
          </w:p>
        </w:tc>
        <w:tc>
          <w:p/>
          <w:p>
            <w:pPr>
              <w:spacing w:after="0" w:before="0" w:lineRule="auto" w:line="276"/>
              <w:jc w:val="left"/>
            </w:pPr>
            <w:r>
              <w:rPr>
                <w:rFonts w:ascii="Times New Roman" w:hAnsi="Times New Roman" w:cs="Times New Roman" w:eastAsia="Times New Roman"/>
                <w:b w:val="false"/>
                <w:sz w:val="26"/>
              </w:rPr>
              <w:t>Thông tư 07/2026/TT-BNNMT</w:t>
            </w:r>
          </w:p>
        </w:tc>
        <w:tc>
          <w:p/>
          <w:p>
            <w:pPr>
              <w:spacing w:after="0" w:before="0" w:lineRule="auto" w:line="276"/>
              <w:jc w:val="left"/>
            </w:pPr>
            <w:r>
              <w:rPr>
                <w:rFonts w:ascii="Times New Roman" w:hAnsi="Times New Roman" w:cs="Times New Roman" w:eastAsia="Times New Roman"/>
                <w:b w:val="false"/>
                <w:sz w:val="26"/>
              </w:rPr>
              <w:t>23-01-2026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buôn bán thuốc bảo vệ thực vật phải bảo đảm các điều kiện quy định tại Điều 63 Luật Bảo vệ và kiểm dịch thực vật và các điều kiện chi tiết sau:
a) Người trực tiếp bán thuốc bảo vệ thực vật phải có trình độ trung cấp trở lên về một trong các chuyên ngành bảo vệ thực vật, trồng trọt, hóa học, sinh học, nông học hoặc có Giấy chứng nhận bồi dưỡng chuyên môn về thuốc bảo vệ thực vật;
b) Địa điểm cửa hàng buôn bán thuốc bảo vệ thực vật tách biệt với khu vực dịch vụ ăn uống, trường học, bệnh viện;
c) Kho chứa thuốc bảo vệ thực vật
Đối với cơ sở bán buôn, kho chứa thuốc bảo vệ thực vật phải đảm bảo yêu cầu của quy chuẩn kỹ thuật quốc gia về an toàn trong sản xuất, kinh doanh, sử dụng, bảo quản và vận chuyển hóa chất nguy hiểm. 
Đối với cơ sở bán lẻ, khu vực chứa thuốc bảo vệ thực vật phải có kệ kê hàng cao tối thiểu 10 cm so với mặt sàn, cách tường tối thiểu 20 cm.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2026-05-22T16:00:36Z</dcterms:created>
  <dc:creator>Apache POI</dc:creator>
</cp:coreProperties>
</file>