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buôn bán thuốc thú y nộp hồ sơ đăng ký cấp Giấy chứng nhận đủ điều kiện buôn bán thuốc thú y cho cơ quan quản lý chuyên ngành thú y cấp tỉnh.
- Bước 2: Trong thời hạn 05 ngày làm việc, kể từ ngày nhận được hồ sơ hợp lệ, cơ quan quản lý chuyên ngành thú y cấp tỉnh kiểm tra điều kiện của cơ sở buôn bán thuốc thú y, nếu đủ điều kiện thì trong thời hạn 03 ngày làm việc, kể từ ngày kết thúc việc kiểm tra phải cấp Giấy chứng nhận đủ điều kiện buôn bán thuốc thú y; trường hợp không cấp phải trả lời bằng văn bản và nêu rõ lý do.
Thực hiện kiểm tra, đánh giá trực tuyến trong trường hợp do thiên tai hoặc phải áp dụng quy định về phòng, chống dịch bệnh nguy hiểm mà không thể thực hiện kiểm tra, đánh giá trực tiếp tại hiện trường để cấp giấy chứng nhận đủ điều kiện buôn bán, nhập khẩu thuốc thú y. Việc đánh giá trực tiếp tại hiện trường sẽ được thực hiện sau khi các địa phương kiểm soát được thiên tai, dịch bệnh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08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Kiểm tra điều kiện cơ sở buôn bán thuốc thú y, thuốc thú y thủy sản: 230.000đ/lần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08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Kiểm tra điều kiện cơ sở buôn bán thuốc thú y, thuốc thú y thủy sản: 230.000đ/lần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08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Kiểm tra điều kiện cơ sở buôn bán thuốc thú y, thuốc thú y thủy sản: 230.000đ/lần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theo Mẫu số 09.QLT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Mau09.QLT.BB.docx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chi tiết cơ sở vật chất, kỹ thuật theo Mẫu số 10.QLT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mau10.QLT.BB.docx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hành nghề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Lâm Đồng, số 36 Trần Phú, phường 4, Tp. Đà Lạt; hoặc qua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thú y,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13/2016/TT-BNNPTNT	</w:t>
            </w:r>
          </w:p>
        </w:tc>
        <w:tc>
          <w:p/>
          <w:p>
            <w:pPr>
              <w:spacing w:after="0" w:before="0" w:lineRule="auto" w:line="276"/>
              <w:jc w:val="left"/>
            </w:pPr>
            <w:r>
              <w:rPr>
                <w:rFonts w:ascii="Times New Roman" w:hAnsi="Times New Roman" w:cs="Times New Roman" w:eastAsia="Times New Roman"/>
                <w:b w:val="false"/>
                <w:sz w:val="26"/>
              </w:rPr>
              <w:t>Quy định về quản lý thuốc thú y	</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123/2018/NĐ-CP	</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VỀ ĐIỀU KIỆN ĐẦU TƯ, KINH DOANH TRONG LĨNH VỰC NÔNG NGHIỆP	</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13/2022/TT-BNNPTNT</w:t>
            </w:r>
          </w:p>
        </w:tc>
        <w:tc>
          <w:p/>
          <w:p>
            <w:pPr>
              <w:spacing w:after="0" w:before="0" w:lineRule="auto" w:line="276"/>
              <w:jc w:val="left"/>
            </w:pPr>
            <w:r>
              <w:rPr>
                <w:rFonts w:ascii="Times New Roman" w:hAnsi="Times New Roman" w:cs="Times New Roman" w:eastAsia="Times New Roman"/>
                <w:b w:val="false"/>
                <w:sz w:val="26"/>
              </w:rPr>
              <w:t>Thông tư 13/2022/TT-BNNPTNT</w:t>
            </w:r>
          </w:p>
        </w:tc>
        <w:tc>
          <w:p/>
          <w:p>
            <w:pPr>
              <w:spacing w:after="0" w:before="0" w:lineRule="auto" w:line="276"/>
              <w:jc w:val="left"/>
            </w:pPr>
            <w:r>
              <w:rPr>
                <w:rFonts w:ascii="Times New Roman" w:hAnsi="Times New Roman" w:cs="Times New Roman" w:eastAsia="Times New Roman"/>
                <w:b w:val="false"/>
                <w:sz w:val="26"/>
              </w:rPr>
              <w:t>28-09-2022</w:t>
            </w:r>
          </w:p>
        </w:tc>
        <w:tc>
          <w:p/>
        </w:tc>
      </w:tr>
      <w:tr>
        <w:tc>
          <w:p/>
          <w:p>
            <w:pPr>
              <w:spacing w:after="0" w:before="0" w:lineRule="auto" w:line="276"/>
              <w:jc w:val="left"/>
            </w:pPr>
            <w:r>
              <w:rPr>
                <w:rFonts w:ascii="Times New Roman" w:hAnsi="Times New Roman" w:cs="Times New Roman" w:eastAsia="Times New Roman"/>
                <w:b w:val="false"/>
                <w:sz w:val="26"/>
              </w:rPr>
              <w:t>105/2021/NĐ-CP</w:t>
            </w:r>
          </w:p>
        </w:tc>
        <w:tc>
          <w:p/>
          <w:p>
            <w:pPr>
              <w:spacing w:after="0" w:before="0" w:lineRule="auto" w:line="276"/>
              <w:jc w:val="left"/>
            </w:pPr>
            <w:r>
              <w:rPr>
                <w:rFonts w:ascii="Times New Roman" w:hAnsi="Times New Roman" w:cs="Times New Roman" w:eastAsia="Times New Roman"/>
                <w:b w:val="false"/>
                <w:sz w:val="26"/>
              </w:rPr>
              <w:t>Nghị định 105/2021/NĐ-CP</w:t>
            </w:r>
          </w:p>
        </w:tc>
        <w:tc>
          <w:p/>
          <w:p>
            <w:pPr>
              <w:spacing w:after="0" w:before="0" w:lineRule="auto" w:line="276"/>
              <w:jc w:val="left"/>
            </w:pPr>
            <w:r>
              <w:rPr>
                <w:rFonts w:ascii="Times New Roman" w:hAnsi="Times New Roman" w:cs="Times New Roman" w:eastAsia="Times New Roman"/>
                <w:b w:val="false"/>
                <w:sz w:val="26"/>
              </w:rPr>
              <w:t>04-12-2021</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địa điểm, cơ sở vật chất, kỹ thuật phù hợp;
- Người quản lý, người trực tiếp bán thuốc thú y phải có Chứng chỉ hành nghề thú y;
- Có trang thiết bị để bảo đảm điều kiện bảo quản ghi trên nhãn của sản phẩm; có nhiệt kế, ẩm kế theo dõi điều kiện bảo quản sản phẩm.
- Đối với cơ sở buôn bán vắc-xin, chế phẩm sinh học phải có máy phát điện dự phòng, vật dụng, phương tiện vận chuyển phân phối vắc-xin bảo đảm điều kiện bảo quản ghi trên nhãn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