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thuốc gia công của thuốc đó có số đăng ký lưu hành tại Việt Nam còn hiệu lực (sinh phẩm chẩn đoán)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Hồ sơ đăng ký được gửi về Cục Quản lý dược (Cục QLD)</w:t>
      </w:r>
    </w:p>
    <w:p>
      <w:pPr>
        <w:spacing w:after="0" w:before="0" w:lineRule="auto" w:line="276"/>
        <w:jc w:val="both"/>
      </w:pPr>
      <w:r>
        <w:rPr>
          <w:rFonts w:ascii="Times New Roman" w:hAnsi="Times New Roman" w:cs="Times New Roman" w:eastAsia="Times New Roman"/>
          <w:b w:val="false"/>
          <w:sz w:val="26"/>
        </w:rPr>
        <w:t>Cục Quản lý dược tiếp nhận, thẩm định hồ sơ và trình Hội đồng tư vấn cấp số đăng ký lưu hành thuốc - Bộ Y tế và ban hành danh mục thuốc được cấp số đăng ký;</w:t>
      </w:r>
    </w:p>
    <w:p>
      <w:pPr>
        <w:spacing w:after="0" w:before="0" w:lineRule="auto" w:line="276"/>
        <w:jc w:val="both"/>
      </w:pPr>
      <w:r>
        <w:rPr>
          <w:rFonts w:ascii="Times New Roman" w:hAnsi="Times New Roman" w:cs="Times New Roman" w:eastAsia="Times New Roman"/>
          <w:b w:val="false"/>
          <w:sz w:val="26"/>
        </w:rPr>
        <w:t>Trả cho đơn vị thông báo, Quyết định ban hành số đăng ký tại nơi tiếp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Lệ phí : 4.500.000 Đồng</w:t>
              <w:t xml:space="preserve"> (Phí thẩm định)</w:t>
            </w:r>
          </w:p>
        </w:tc>
        <w:tc>
          <w:p/>
          <w:p>
            <w:pPr>
              <w:spacing w:after="0" w:before="0" w:lineRule="auto" w:line="276"/>
              <w:jc w:val="left"/>
            </w:pPr>
            <w:r>
              <w:rPr>
                <w:rFonts w:ascii="Times New Roman" w:hAnsi="Times New Roman" w:cs="Times New Roman" w:eastAsia="Times New Roman"/>
                <w:b w:val="false"/>
                <w:sz w:val="26"/>
              </w:rPr>
              <w:t>06 tháng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tháng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chất lượng thực hiện theo hướng dẫn tại Phụ lực III A và bao gồm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Mục lục;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Thành phần hoạt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Thành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Độ ổn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hành chính và thông tin sản phẩm,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Mục lục</w:t>
            </w:r>
          </w:p>
        </w:tc>
        <w:tc>
          <w:p/>
          <w:p>
            <w:pPr>
              <w:spacing w:after="0" w:before="0" w:lineRule="auto" w:line="276"/>
              <w:jc w:val="left"/>
            </w:pPr>
            <w:r>
              <w:rPr>
                <w:rFonts w:ascii="Times New Roman" w:hAnsi="Times New Roman" w:cs="Times New Roman" w:eastAsia="Times New Roman"/>
                <w:b w:val="false"/>
                <w:sz w:val="26"/>
              </w:rPr>
              <w:t>mẫu số 2aGC.docx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Đơn đăng ký – Mẫu số 2a/GC</w:t>
            </w:r>
          </w:p>
        </w:tc>
        <w:tc>
          <w:p/>
          <w:p>
            <w:pPr>
              <w:spacing w:after="0" w:before="0" w:lineRule="auto" w:line="276"/>
              <w:jc w:val="left"/>
            </w:pPr>
            <w:r>
              <w:rPr>
                <w:rFonts w:ascii="Times New Roman" w:hAnsi="Times New Roman" w:cs="Times New Roman" w:eastAsia="Times New Roman"/>
                <w:b w:val="false"/>
                <w:sz w:val="26"/>
              </w:rPr>
              <w:t>mẫu số 2aGC.docx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Giấy ủy quyền (nếu có) – Mẫu số 3a/GC hoặc Mẫu số 3b/GC</w:t>
            </w:r>
          </w:p>
        </w:tc>
        <w:tc>
          <w:p/>
          <w:p>
            <w:pPr>
              <w:spacing w:after="0" w:before="0" w:lineRule="auto" w:line="276"/>
              <w:jc w:val="left"/>
            </w:pPr>
            <w:r>
              <w:rPr>
                <w:rFonts w:ascii="Times New Roman" w:hAnsi="Times New Roman" w:cs="Times New Roman" w:eastAsia="Times New Roman"/>
                <w:b w:val="false"/>
                <w:sz w:val="26"/>
              </w:rPr>
              <w:t>mẫu số 3a 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 Trang bìa – Mẫu số 1/GC</w:t>
            </w:r>
          </w:p>
        </w:tc>
        <w:tc>
          <w:p/>
          <w:p>
            <w:pPr>
              <w:spacing w:after="0" w:before="0" w:lineRule="auto" w:line="276"/>
              <w:jc w:val="left"/>
            </w:pPr>
            <w:r>
              <w:rPr>
                <w:rFonts w:ascii="Times New Roman" w:hAnsi="Times New Roman" w:cs="Times New Roman" w:eastAsia="Times New Roman"/>
                <w:b w:val="false"/>
                <w:sz w:val="26"/>
              </w:rPr>
              <w:t>mẫu số 1 GC.docx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10. Mẫu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11. Tóm tắt về sản phẩm (Mẫu số 7a/GC);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văn bằng bảo hộ, hợp đồng chuyển giao quyền đối tượng sở hữu công nghiệp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13. Các giấy tờ pháp lý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thuốc nếu là cơ sở kinh doanh thuốc của Việt Nam (Bản chụp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Giấy chứng nhận CPP – Mẫu 1/ACTD đối với thuốc nước ngoài 7- Giấy chứng nhận FSC đối với trường hợp cơ sở đăng ký thuốc nước ngoài không có CPP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Nhãn thuốc: Các nhãn này được gắn trên giấy A4 có đóng dấu giáp lai của cơ sở đăng ký - 3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Thông tin sản phẩm: tờ Hướng dẫn sử dụng hoặc Thông tin cho bệnh nhân hoặc Tóm tắt đặc tính sản phẩm theo quy định đối với từng loại thuốc tương ứng có đóng dấu giáp lai của cơ sở đăng ký - 3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Hợp đồng gia công thuốc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gia công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ban hành số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79/2006/NĐ-CP</w:t>
            </w:r>
          </w:p>
        </w:tc>
        <w:tc>
          <w:p/>
          <w:p>
            <w:pPr>
              <w:spacing w:after="0" w:before="0" w:lineRule="auto" w:line="276"/>
              <w:jc w:val="left"/>
            </w:pPr>
            <w:r>
              <w:rPr>
                <w:rFonts w:ascii="Times New Roman" w:hAnsi="Times New Roman" w:cs="Times New Roman" w:eastAsia="Times New Roman"/>
                <w:b w:val="false"/>
                <w:sz w:val="26"/>
              </w:rPr>
              <w:t>Nghị định 79/2006/NĐ-CP -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09-08-2016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89/2012/NĐ-CP</w:t>
            </w:r>
          </w:p>
        </w:tc>
        <w:tc>
          <w:p/>
          <w:p>
            <w:pPr>
              <w:spacing w:after="0" w:before="0" w:lineRule="auto" w:line="276"/>
              <w:jc w:val="left"/>
            </w:pPr>
            <w:r>
              <w:rPr>
                <w:rFonts w:ascii="Times New Roman" w:hAnsi="Times New Roman" w:cs="Times New Roman" w:eastAsia="Times New Roman"/>
                <w:b w:val="false"/>
                <w:sz w:val="26"/>
              </w:rPr>
              <w:t>Nghị định 89/2012/NĐ-CP - Sửa đổi, bổ sung một số điều của Nghị định số 79/2006/NĐ-CP ngày 09 tháng 8 năm 2006 của Chính phủ quy định chi tiết thi hành một số điều của Luật Dược</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34/2005/QH11</w:t>
            </w:r>
          </w:p>
        </w:tc>
        <w:tc>
          <w:p/>
          <w:p>
            <w:pPr>
              <w:spacing w:after="0" w:before="0" w:lineRule="auto" w:line="276"/>
              <w:jc w:val="left"/>
            </w:pPr>
            <w:r>
              <w:rPr>
                <w:rFonts w:ascii="Times New Roman" w:hAnsi="Times New Roman" w:cs="Times New Roman" w:eastAsia="Times New Roman"/>
                <w:b w:val="false"/>
                <w:sz w:val="26"/>
              </w:rPr>
              <w:t>Luật 34/2005/QH11-Dược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23/2013/TT-BYT</w:t>
            </w:r>
          </w:p>
        </w:tc>
        <w:tc>
          <w:p/>
          <w:p>
            <w:pPr>
              <w:spacing w:after="0" w:before="0" w:lineRule="auto" w:line="276"/>
              <w:jc w:val="left"/>
            </w:pPr>
            <w:r>
              <w:rPr>
                <w:rFonts w:ascii="Times New Roman" w:hAnsi="Times New Roman" w:cs="Times New Roman" w:eastAsia="Times New Roman"/>
                <w:b w:val="false"/>
                <w:sz w:val="26"/>
              </w:rPr>
              <w:t>Thông tư 23/2013/TT-BYT</w:t>
            </w:r>
          </w:p>
        </w:tc>
        <w:tc>
          <w:p/>
          <w:p>
            <w:pPr>
              <w:spacing w:after="0" w:before="0" w:lineRule="auto" w:line="276"/>
              <w:jc w:val="left"/>
            </w:pPr>
            <w:r>
              <w:rPr>
                <w:rFonts w:ascii="Times New Roman" w:hAnsi="Times New Roman" w:cs="Times New Roman" w:eastAsia="Times New Roman"/>
                <w:b w:val="false"/>
                <w:sz w:val="26"/>
              </w:rPr>
              <w:t>13-08-2013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2026-05-10T17:49:31Z</dcterms:created>
  <dc:creator>Apache POI</dc:creator>
</cp:coreProperties>
</file>