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1.000826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1275/QĐ-BNG</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cấp Giấy phép nhập cảnh thi hài, hài cốt, tro cốt về Việt Nam</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Cơ quan khác</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Hồi hương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Người có yêu cầu chuẩn bị hồ sơ theo quy định và nộp hồ sơ tại Cơ quan đại diện nơi có người chết hoặc Cơ quan đại diện kiêm nhiệm nước đó hoặc          Cơ quan đại diện nơi thuận tiện nhất, nếu ở nước có người chết không có           Cơ quan đại diện.</w:t>
      </w:r>
    </w:p>
    <w:p>
      <w:pPr>
        <w:spacing w:after="0" w:before="0" w:lineRule="auto" w:line="276"/>
        <w:jc w:val="both"/>
      </w:pPr>
      <w:r>
        <w:rPr>
          <w:rFonts w:ascii="Times New Roman" w:hAnsi="Times New Roman" w:cs="Times New Roman" w:eastAsia="Times New Roman"/>
          <w:b w:val="false"/>
          <w:sz w:val="26"/>
        </w:rPr>
        <w:t>- Cán bộ nhận hồ sơ có trách nhiệm kiểm tra toàn bộ hồ sơ, đối chiếu các thông tin trong hồ sơ:
	(i) Trường hợp hồ sơ đầy đủ, hợp lệ thì tiếp nhận hồ sơ; 
	(ii) Trường hợp hồ sơ chưa đầy đủ, hợp lệ thì hướng dẫn người nộp hồ sơ  bổ sung, hoàn thiện theo quy định. Sau khi hồ sơ được bổ sung, thực hiện lại bước (i); trường hợp không thể bổ sung hồ sơ ngay thì phải có văn bản hướng dẫn, trong đó nêu rõ loại giấy tờ, nội dung cần bổ sung, ký, ghi rõ họ tên của cán bộ lãnh sự.
	(iii) Trường hợp không bổ sung, hoàn thiện được hồ sơ thì thông báo từ chối giải quyết hồ sơ.</w:t>
      </w:r>
    </w:p>
    <w:p>
      <w:pPr>
        <w:spacing w:after="0" w:before="0" w:lineRule="auto" w:line="276"/>
        <w:jc w:val="both"/>
      </w:pPr>
      <w:r>
        <w:rPr>
          <w:rFonts w:ascii="Times New Roman" w:hAnsi="Times New Roman" w:cs="Times New Roman" w:eastAsia="Times New Roman"/>
          <w:b w:val="false"/>
          <w:sz w:val="26"/>
        </w:rPr>
        <w:t>-  Cán bộ xử lý hồ sơ có trách nhiệm kiểm tra lại toàn bộ hồ sơ, đảm bảo hồ sơ đầy đủ, hợp lệ: 
	+ Trường hợp hồ sơ cần bổ sung, hoàn thiện thì gửi thông báo về tình trạng hồ sơ cho người nộp hồ sơ - thực hiện lại bước (ii); hoặc không đủ điều kiện giải quyết, phải từ chối giải quyết thì gửi thông báo cho đương sự.
	+ Trường hợp cần phải kiểm tra, xác minh làm rõ hoặc do nguyên nhân khác mà không thể trả kết quả đúng thời gian đã hẹn thì lập Phiếu xin lỗi và hẹn lại ngày trả kết quả, trong đó nêu rõ lý do chậm trả kết quả và thời gian hẹn trả kết quả, để gửi cho người có yêu cầu.
	+ Nếu thấy hồ sơ đầy đủ, hợp lệ, đúng quy định, trừ trường hợp người chết thuộc diện chưa được phép nhập cảnh vì lý do bảo vệ an ninh quốc gia và trật tự an toàn xã hội (được xem xét giải quyết đối với từng trường hợp cụ thể), thì cán bộ lãnh sự báo cáo Trưởng cơ quan đại diện ký cấp Giấy phép cho người đề nghị.
	+ Ghi vào Sổ cấp phép nhập cảnh thi hài, hài cốt, tro cốt; thông báo việc cấp Giấy phép cho Cục Lãnh sự - Bộ Ngoại giao, Hải quan cửa khẩu và Cơ quan quản lý xuất nhập cảnh cửa khẩu liên quan; Đóng dấu hủy Hộ chiếu hoặc giấy tờ có giá trị xuất cảnh, nhập cảnh của người chết do cơ quan chức năng của Việt Nam cấp (nếu có); thông báo hủy giá trị Hộ chiếu/giấy tờ về Cục Quản lý xuất nhập cảnh - Bộ Công an.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01 Ngày làm việc</w:t>
            </w:r>
          </w:p>
        </w:tc>
        <w:tc>
          <w:p/>
          <w:p>
            <w:pPr>
              <w:spacing w:after="0" w:before="0" w:lineRule="auto" w:line="276"/>
              <w:jc w:val="left"/>
            </w:pPr>
            <w:r>
              <w:rPr>
                <w:rFonts w:ascii="Times New Roman" w:hAnsi="Times New Roman" w:cs="Times New Roman" w:eastAsia="Times New Roman"/>
                <w:b w:val="false"/>
                <w:sz w:val="26"/>
              </w:rPr>
              <w:t>Phí : Không thu phí Đồng</w:t>
            </w:r>
          </w:p>
        </w:tc>
        <w:tc>
          <w:p/>
          <w:p>
            <w:pPr>
              <w:spacing w:after="0" w:before="0" w:lineRule="auto" w:line="276"/>
              <w:jc w:val="left"/>
            </w:pPr>
            <w:r>
              <w:rPr>
                <w:rFonts w:ascii="Times New Roman" w:hAnsi="Times New Roman" w:cs="Times New Roman" w:eastAsia="Times New Roman"/>
                <w:b w:val="false"/>
                <w:sz w:val="26"/>
              </w:rPr>
              <w:t>- Người đề nghị nộp hồ sơ trực tiếp tại Cơ quan đại diện Việt Nam ở nước ngoài hoặc gửi qua đường hệ thống bưu chính. 
- Hồ sơ có thể được nộp qua môi trường điện tử trong trường hợp cơ sở hạ tầng kỹ thuật tại Cơ quan đại diện Việt Nam ở nước ngoài cho phép (bao gồm việc kết nối với cơ sở dữ liệu quốc gia về dân cư)
- 01 ngày kể từ ngày nhận đủ hồ sơ hợp lệ.
	- Đối với các trường hợp người chết thuộc diện chưa được phép nhập cảnh Việt Nam vì lý do an ninh quốc gia và trật tự an toàn xã hội hoặc chết do mắc bệnh truyền nhiễm nguy hiểm, dễ lây lan: Trong vòng 01 ngày làm việc kể từ ngày nhận được đủ hồ sơ hợp lệ, Cơ quan đại diện Việt Nam ở nước ngoài gửi văn bản thông báo rõ các chi tiết nhân thân của người chết cho Cục Lãnh sự, Bộ Ngoại giao. Sau khi tham khảo các cơ quan chức năng trong nước, Cục Lãnh sự thông báo kết quả cho Cơ quan đại diện Việt Nam ở nước ngoài, trong vòng 01 ngày làm việc kể từ ngày nhận được thông báo đồng ý của Cục Lãnh sự, Cơ quan đại diện Việt Nam ở nước ngoài cấp Giấy phép và trả lời kết quả cho người đề nghị.</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Giấy tờ của người chết</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chụp giấy tờ chứng minh nhân thân của người chết (Chứng minh nhân dân, Thẻ căn cước, hộ chiếu hoặc giấy tờ có giá trị nhập cảnh, xuất cảnh).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chụp giấy phép thường trú tại Việt Nam của người chết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chụp Giấy chứng nhận vệ sinh, kiểm dịch y tế do cơ quan có thẩm quyền của nước ngoài cấp (đối với thi hài); Giấy chứng nhận khai quật và Giấy chứng nhận vệ sinh, kiểm dịch y tế do cơ quan có thẩm quyền của nước ngoài cấp (đối với hài cốt); Giấy chứng nhận hỏa thiêu thi hài (đối với tro cốt)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chụp Đơn xin phép mang thi hài/hài cốt/tro cốt của người thân về chôn cất/bảo quản tại địa phương  (mẫu số 02/NG-LS ban hành kèm theo Thông tư số 01/2011/TT-BNG) có xác nhận đồng ý của ủy ban nhân dân xã, phường, thị trấn hoặc cơ quan quản lý nghĩa trang tại Việt Nam</w:t>
            </w:r>
          </w:p>
        </w:tc>
        <w:tc>
          <w:p/>
          <w:p>
            <w:pPr>
              <w:spacing w:after="0" w:before="0" w:lineRule="auto" w:line="276"/>
              <w:jc w:val="left"/>
            </w:pPr>
            <w:r>
              <w:rPr>
                <w:rFonts w:ascii="Times New Roman" w:hAnsi="Times New Roman" w:cs="Times New Roman" w:eastAsia="Times New Roman"/>
                <w:b w:val="false"/>
                <w:sz w:val="26"/>
              </w:rPr>
              <w:t>mauso 02.doc</w:t>
            </w:r>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chụp Giấy chứng tử do cơ quan có thẩm quyền của nước ngoài hoặc Cơ quan đại diện Việt Nam ở nước ngoài cấp cho người chết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giấy phép do cơ quan có thẩm quyền nước sở tại cho phép xuất cảnh thi hài/di hài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Giấy tờ của người đề nghị</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đưa thi hài, hài cốt, tro cốt về nước theo mẫu số 01/NG-LS ban hành kèm theo Thông tư số 01/2011/TT-BNG</w:t>
            </w:r>
          </w:p>
        </w:tc>
        <w:tc>
          <w:p/>
          <w:p>
            <w:pPr>
              <w:spacing w:after="0" w:before="0" w:lineRule="auto" w:line="276"/>
              <w:jc w:val="left"/>
            </w:pPr>
            <w:r>
              <w:rPr>
                <w:rFonts w:ascii="Times New Roman" w:hAnsi="Times New Roman" w:cs="Times New Roman" w:eastAsia="Times New Roman"/>
                <w:b w:val="false"/>
                <w:sz w:val="26"/>
              </w:rPr>
              <w:t>mauso 01.doc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- 01 bản chụp hộ chiếu hoặc giấy tờ có giá trị xuất cảnh, nhập cảnh của người đề nghị;</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- 01 bản chụp giấy tờ chứng minh quan hệ thân nhân với người chết;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- 01 bản chụp một trong các loại giấy tờ: căn cước công dân, giấy xác nhận thông tin về cư trú, giấy thông báo số định danh cá nhân và thông tin công dân trong Cơ sở dữ liệu quốc gia về dân cư trong trường hợp người chết là người Việt Nam cư trú ở nước ngoài có thân nhân thường trú tại Việt Nam.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gốc văn bản ủy quyền trong trường hợp người đề nghị được thân nhân của người chết ủy quyền bằng văn bản. - Bản gốc văn bản ủy quyền trong trường hợp người đề nghị là cơ quan, đơn vị chủ quản của người chết.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Cán bộ, công chức, viên chức, Doanh nghiệp,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Cơ quan đại diện ngoại giao, Cơ quan lãnh sự</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Cơ quan đại diện Việt Nam ở nước ngoài</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cấp phép nhập cảnh thi hài, hài cốt, tro cốt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33/2009/QH12</w:t>
            </w:r>
          </w:p>
        </w:tc>
        <w:tc>
          <w:p/>
          <w:p>
            <w:pPr>
              <w:spacing w:after="0" w:before="0" w:lineRule="auto" w:line="276"/>
              <w:jc w:val="left"/>
            </w:pPr>
            <w:r>
              <w:rPr>
                <w:rFonts w:ascii="Times New Roman" w:hAnsi="Times New Roman" w:cs="Times New Roman" w:eastAsia="Times New Roman"/>
                <w:b w:val="false"/>
                <w:sz w:val="26"/>
              </w:rPr>
              <w:t>Luật 33/2009/QH12</w:t>
            </w:r>
          </w:p>
        </w:tc>
        <w:tc>
          <w:p/>
          <w:p>
            <w:pPr>
              <w:spacing w:after="0" w:before="0" w:lineRule="auto" w:line="276"/>
              <w:jc w:val="left"/>
            </w:pPr>
            <w:r>
              <w:rPr>
                <w:rFonts w:ascii="Times New Roman" w:hAnsi="Times New Roman" w:cs="Times New Roman" w:eastAsia="Times New Roman"/>
                <w:b w:val="false"/>
                <w:sz w:val="26"/>
              </w:rPr>
              <w:t>18-06-2009</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05/2002/QĐ-BNG</w:t>
            </w:r>
          </w:p>
        </w:tc>
        <w:tc>
          <w:p/>
          <w:p>
            <w:pPr>
              <w:spacing w:after="0" w:before="0" w:lineRule="auto" w:line="276"/>
              <w:jc w:val="left"/>
            </w:pPr>
            <w:r>
              <w:rPr>
                <w:rFonts w:ascii="Times New Roman" w:hAnsi="Times New Roman" w:cs="Times New Roman" w:eastAsia="Times New Roman"/>
                <w:b w:val="false"/>
                <w:sz w:val="26"/>
              </w:rPr>
              <w:t>	 Quyết định 05/2002/QĐ-BNG</w:t>
            </w:r>
          </w:p>
        </w:tc>
        <w:tc>
          <w:p/>
          <w:p>
            <w:pPr>
              <w:spacing w:after="0" w:before="0" w:lineRule="auto" w:line="276"/>
              <w:jc w:val="left"/>
            </w:pPr>
            <w:r>
              <w:rPr>
                <w:rFonts w:ascii="Times New Roman" w:hAnsi="Times New Roman" w:cs="Times New Roman" w:eastAsia="Times New Roman"/>
                <w:b w:val="false"/>
                <w:sz w:val="26"/>
              </w:rPr>
              <w:t>30-07-2002</w:t>
            </w:r>
          </w:p>
        </w:tc>
        <w:tc>
          <w:p/>
          <w:p>
            <w:pPr>
              <w:spacing w:after="0" w:before="0" w:lineRule="auto" w:line="276"/>
              <w:jc w:val="left"/>
            </w:pPr>
            <w:r>
              <w:rPr>
                <w:rFonts w:ascii="Times New Roman" w:hAnsi="Times New Roman" w:cs="Times New Roman" w:eastAsia="Times New Roman"/>
                <w:b w:val="false"/>
                <w:sz w:val="26"/>
              </w:rPr>
              <w:t>Bộ Ngoại giao</w:t>
            </w:r>
          </w:p>
        </w:tc>
      </w:tr>
      <w:tr>
        <w:tc>
          <w:p/>
          <w:p>
            <w:pPr>
              <w:spacing w:after="0" w:before="0" w:lineRule="auto" w:line="276"/>
              <w:jc w:val="left"/>
            </w:pPr>
            <w:r>
              <w:rPr>
                <w:rFonts w:ascii="Times New Roman" w:hAnsi="Times New Roman" w:cs="Times New Roman" w:eastAsia="Times New Roman"/>
                <w:b w:val="false"/>
                <w:sz w:val="26"/>
              </w:rPr>
              <w:t>01/2011/TT-BNG</w:t>
            </w:r>
          </w:p>
        </w:tc>
        <w:tc>
          <w:p/>
          <w:p>
            <w:pPr>
              <w:spacing w:after="0" w:before="0" w:lineRule="auto" w:line="276"/>
              <w:jc w:val="left"/>
            </w:pPr>
            <w:r>
              <w:rPr>
                <w:rFonts w:ascii="Times New Roman" w:hAnsi="Times New Roman" w:cs="Times New Roman" w:eastAsia="Times New Roman"/>
                <w:b w:val="false"/>
                <w:sz w:val="26"/>
              </w:rPr>
              <w:t>Thông tư 01/2011/TT-BNG</w:t>
            </w:r>
          </w:p>
        </w:tc>
        <w:tc>
          <w:p/>
          <w:p>
            <w:pPr>
              <w:spacing w:after="0" w:before="0" w:lineRule="auto" w:line="276"/>
              <w:jc w:val="left"/>
            </w:pPr>
            <w:r>
              <w:rPr>
                <w:rFonts w:ascii="Times New Roman" w:hAnsi="Times New Roman" w:cs="Times New Roman" w:eastAsia="Times New Roman"/>
                <w:b w:val="false"/>
                <w:sz w:val="26"/>
              </w:rPr>
              <w:t>20-06-2011</w:t>
            </w:r>
          </w:p>
        </w:tc>
        <w:tc>
          <w:p/>
          <w:p>
            <w:pPr>
              <w:spacing w:after="0" w:before="0" w:lineRule="auto" w:line="276"/>
              <w:jc w:val="left"/>
            </w:pPr>
            <w:r>
              <w:rPr>
                <w:rFonts w:ascii="Times New Roman" w:hAnsi="Times New Roman" w:cs="Times New Roman" w:eastAsia="Times New Roman"/>
                <w:b w:val="false"/>
                <w:sz w:val="26"/>
              </w:rPr>
              <w:t>Bộ Ngoại giao</w:t>
            </w:r>
          </w:p>
        </w:tc>
      </w:tr>
      <w:tr>
        <w:tc>
          <w:p/>
          <w:p>
            <w:pPr>
              <w:spacing w:after="0" w:before="0" w:lineRule="auto" w:line="276"/>
              <w:jc w:val="left"/>
            </w:pPr>
            <w:r>
              <w:rPr>
                <w:rFonts w:ascii="Times New Roman" w:hAnsi="Times New Roman" w:cs="Times New Roman" w:eastAsia="Times New Roman"/>
                <w:b w:val="false"/>
                <w:sz w:val="26"/>
              </w:rPr>
              <w:t>Thông tư số 03/2023/TT-BNG</w:t>
            </w:r>
          </w:p>
        </w:tc>
        <w:tc>
          <w:p/>
          <w:p>
            <w:pPr>
              <w:spacing w:after="0" w:before="0" w:lineRule="auto" w:line="276"/>
              <w:jc w:val="left"/>
            </w:pPr>
            <w:r>
              <w:rPr>
                <w:rFonts w:ascii="Times New Roman" w:hAnsi="Times New Roman" w:cs="Times New Roman" w:eastAsia="Times New Roman"/>
                <w:b w:val="false"/>
                <w:sz w:val="26"/>
              </w:rPr>
              <w:t>Thông tư số 03/2023/TT-BNG hướng dẫn việc tổ chức giải quyết công tác lãnh sự.</w:t>
            </w:r>
          </w:p>
        </w:tc>
        <w:tc>
          <w:p/>
          <w:p>
            <w:pPr>
              <w:spacing w:after="0" w:before="0" w:lineRule="auto" w:line="276"/>
              <w:jc w:val="left"/>
            </w:pPr>
            <w:r>
              <w:rPr>
                <w:rFonts w:ascii="Times New Roman" w:hAnsi="Times New Roman" w:cs="Times New Roman" w:eastAsia="Times New Roman"/>
                <w:b w:val="false"/>
                <w:sz w:val="26"/>
              </w:rPr>
              <w:t>27-07-2023</w:t>
            </w:r>
          </w:p>
        </w:tc>
        <w:tc>
          <w:p/>
        </w:tc>
      </w:tr>
      <w:tr>
        <w:tc>
          <w:p/>
          <w:p>
            <w:pPr>
              <w:spacing w:after="0" w:before="0" w:lineRule="auto" w:line="276"/>
              <w:jc w:val="left"/>
            </w:pPr>
            <w:r>
              <w:rPr>
                <w:rFonts w:ascii="Times New Roman" w:hAnsi="Times New Roman" w:cs="Times New Roman" w:eastAsia="Times New Roman"/>
                <w:b w:val="false"/>
                <w:sz w:val="26"/>
              </w:rPr>
              <w:t>Thông tư 06/2023/TT-BNG</w:t>
            </w:r>
          </w:p>
        </w:tc>
        <w:tc>
          <w:p/>
          <w:p>
            <w:pPr>
              <w:spacing w:after="0" w:before="0" w:lineRule="auto" w:line="276"/>
              <w:jc w:val="left"/>
            </w:pPr>
            <w:r>
              <w:rPr>
                <w:rFonts w:ascii="Times New Roman" w:hAnsi="Times New Roman" w:cs="Times New Roman" w:eastAsia="Times New Roman"/>
                <w:b w:val="false"/>
                <w:sz w:val="26"/>
              </w:rPr>
              <w:t>Thông tư 06/2023/TT-BNG sửa đổi, bổ sung một số điều của Thông tư số 01/2011/TT-BNG ngày 20 tháng 6 năm 2011 của Bộ Ngoại giao Quy định thủ tục cấp giấy phép nhập cảnh thi hài, hài cốt, tro cốt về Việt Nam; Thông tư số 02/2011/TT-BNG ngày 27 tháng 6 năm 2011 của Bộ Ngoại giao Hướng dẫn thủ tục đăng ký công dân Việt Nam ở nước ngoài; Thông tư số 04/2020/TT-BNG ngày 25 tháng 9 năm 2020 Hướng dẫn việc cấp, gia hạn, hủy giá trị sử dụng hộ chiếu ngoại giao, hộ chiếu công vụ và cấp công hàm đề nghị phía nước ngoài cấp thị thực.</w:t>
            </w:r>
          </w:p>
        </w:tc>
        <w:tc>
          <w:p/>
          <w:p>
            <w:pPr>
              <w:spacing w:after="0" w:before="0" w:lineRule="auto" w:line="276"/>
              <w:jc w:val="left"/>
            </w:pPr>
            <w:r>
              <w:rPr>
                <w:rFonts w:ascii="Times New Roman" w:hAnsi="Times New Roman" w:cs="Times New Roman" w:eastAsia="Times New Roman"/>
                <w:b w:val="false"/>
                <w:sz w:val="26"/>
              </w:rPr>
              <w:t>26-12-2023</w:t>
            </w:r>
          </w:p>
        </w:tc>
        <w:tc>
          <w:p/>
          <w:p>
            <w:pPr>
              <w:spacing w:after="0" w:before="0" w:lineRule="auto" w:line="276"/>
              <w:jc w:val="left"/>
            </w:pPr>
            <w:r>
              <w:rPr>
                <w:rFonts w:ascii="Times New Roman" w:hAnsi="Times New Roman" w:cs="Times New Roman" w:eastAsia="Times New Roman"/>
                <w:b w:val="false"/>
                <w:sz w:val="26"/>
              </w:rPr>
              <w:t>Bộ Ngoại giao</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Hồ sơ có thể được nộp qua môi trường điện tử trong trường hợp cơ sở hạ tầng kỹ thuật tại Cơ quan đại diện Việt Nam ở nước ngoài cho phép.
* Lưu ý:
- Đối với giấy tờ gửi kèm theo nếu người yêu cầu nộp hồ sơ theo hình thức trực tuyến:
+ Bản chụp các giấy tờ gửi kèm theo hồ sơ trực tuyến phải bảo đảm rõ nét, đầy đủ, toàn vẹn về nội dung, là bản chụp bằng máy ảnh, điện thoại hoặc được chụp, được quét bằng thiết bị điện tử, từ giấy tờ được cấp hợp lệ, còn giá trị sử dụng.
+ Trường hợp giấy tờ, tài liệu phải gửi kèm trong hồ sơ trực tuyến đã có bản sao điện tử hoặc đã có bản điện tử giấy tờ hộ tịch thì người yêu cầu được sử dụng bản điện tử này.
+ Khi đến cơ quan đăng ký hộ tịch nhận kết quả, người có yêu cầu phải xuất trình giấy tờ tuỳ thân, nộp các giấy tờ là thành phần hồ sơ theo quy định của pháp luật hộ tịch.
+ Trường hợp người yêu cầu không cung cấp được giấy tờ nêu trên theo quy định hoặc giấy tờ nộp, xuất trình bị tẩy xóa, sửa chữa, làm giả thì cơ quan đại diện hủy bỏ kết quả giải quyết.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2026-05-08T14:43:21Z</dcterms:created>
  <dc:creator>Apache POI</dc:creator>
</cp:coreProperties>
</file>