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thể tổ chức thanh niên xung phong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thanh niên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Đoàn Thanh niên Cộng sản Hồ Chí Minh cấp tỉnh gửi hồ sơ đến Sở Nội vụ đề nghị cho ý kiến để làm cơ sở cho việc ra quyết định giải thể tổ chức thanh niên xung phong.</w:t>
      </w:r>
    </w:p>
    <w:p>
      <w:pPr>
        <w:spacing w:after="0" w:before="0" w:lineRule="auto" w:line="276"/>
        <w:jc w:val="both"/>
      </w:pPr>
      <w:r>
        <w:rPr>
          <w:rFonts w:ascii="Times New Roman" w:hAnsi="Times New Roman" w:cs="Times New Roman" w:eastAsia="Times New Roman"/>
          <w:b w:val="false"/>
          <w:sz w:val="26"/>
        </w:rPr>
        <w:t xml:space="preserve"> - Sở Nội vụ trình Ủy ban nhân dân tỉnh cho ý kiến bằng văn bản về việc chấp thuận hay không chấp thuận việc giải thể.</w:t>
      </w:r>
    </w:p>
    <w:p>
      <w:pPr>
        <w:spacing w:after="0" w:before="0" w:lineRule="auto" w:line="276"/>
        <w:jc w:val="both"/>
      </w:pPr>
      <w:r>
        <w:rPr>
          <w:rFonts w:ascii="Times New Roman" w:hAnsi="Times New Roman" w:cs="Times New Roman" w:eastAsia="Times New Roman"/>
          <w:b w:val="false"/>
          <w:sz w:val="26"/>
        </w:rPr>
        <w:t>- Đoàn Thanh niên Cộng sản Hồ Chí Minh cấp tỉnh ra quyết định giải thể tổ chức thanh niên xung phong trong trường hợp được Ủy ban nhân dân tỉnh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Đoàn Thanh niên Cộng sản Hồ Chí Minh cấp tỉnh đề nghị Sở Nội vụ cho ý kiến việc giải thể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Ban Tổ chức Tỉnh ủy về việc giải thể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thể tổ chức thanh niên xung phong, trong đó nêu rõ:            + Lý do giải thể tổ chức thanh niên xung phong;            + Đề xuất phương án giải quyết về nhân sự, tổ chức bộ máy, biên chế, tài chính, tài sản, đất đai và các vấn đề khác có liên quan.            + Quy định trách nhiệm của tổ chức, cá nhân thực hiện phương án giải thể tổ chức và thời hạn xử lý các vấn đề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giải thể quy định tại Khoản 3 Điều 6 Thông tư số 11/2011/TT-BNV ngày 26/9/2011 của Bộ Nội vụ, hồ sơ đề nghị giải thể còn phải có văn bản của cơ quan có thẩm quyền xử lý vi phạm của tổ chức thanh niên xung phong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việc giải thể Trung tâm, Trường giáo dục lao động xã hội, ngoài các nội dung trên đây, hồ sơ đề nghị giải thể còn phải có ý kiến bằng văn bản của các cơ quan quản lý chuyên ngành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Địa điểm: Bộ phận Tiếp nhận hồ sơ và trả kết quả Trung tâm Phục vụ hành chính công tỉnh Lào Cai (Quầy giao dịch của Sở Nội vụ).  Địa chỉ:  Đại lộ Trần Hưng đạo,  phường Nam Cường, thành phố Lào Cai, tỉnh Lào Cai (vị trí giữa trụ sở khối 6 và trụ sở khối 7) - Cổng dịch vụ công tỉnh Lào Cai (dịch vụ công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Ý kiến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12/2011/NĐ-CP</w:t>
            </w:r>
          </w:p>
        </w:tc>
        <w:tc>
          <w:p/>
          <w:p>
            <w:pPr>
              <w:spacing w:after="0" w:before="0" w:lineRule="auto" w:line="276"/>
              <w:jc w:val="left"/>
            </w:pPr>
            <w:r>
              <w:rPr>
                <w:rFonts w:ascii="Times New Roman" w:hAnsi="Times New Roman" w:cs="Times New Roman" w:eastAsia="Times New Roman"/>
                <w:b w:val="false"/>
                <w:sz w:val="26"/>
              </w:rPr>
              <w:t>Nghị định số 12/2011/NĐ-CP ngày 30/01/2011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30-01-2011</w:t>
            </w:r>
          </w:p>
        </w:tc>
        <w:tc>
          <w:p/>
        </w:tc>
      </w:tr>
      <w:tr>
        <w:tc>
          <w:p/>
          <w:p>
            <w:pPr>
              <w:spacing w:after="0" w:before="0" w:lineRule="auto" w:line="276"/>
              <w:jc w:val="left"/>
            </w:pPr>
            <w:r>
              <w:rPr>
                <w:rFonts w:ascii="Times New Roman" w:hAnsi="Times New Roman" w:cs="Times New Roman" w:eastAsia="Times New Roman"/>
                <w:b w:val="false"/>
                <w:sz w:val="26"/>
              </w:rPr>
              <w:t>11/2011/TT-BNV</w:t>
            </w:r>
          </w:p>
        </w:tc>
        <w:tc>
          <w:p/>
          <w:p>
            <w:pPr>
              <w:spacing w:after="0" w:before="0" w:lineRule="auto" w:line="276"/>
              <w:jc w:val="left"/>
            </w:pPr>
            <w:r>
              <w:rPr>
                <w:rFonts w:ascii="Times New Roman" w:hAnsi="Times New Roman" w:cs="Times New Roman" w:eastAsia="Times New Roman"/>
                <w:b w:val="false"/>
                <w:sz w:val="26"/>
              </w:rPr>
              <w:t>Thông tư số 11/2011/TT-BNV ngày 26/9/2011 của Bộ trưởng Bộ Nội vụ Hướng dẫn thi hành một số điều của Nghị định số 12/2011/NĐ-CP ngày 30 tháng 01 năm 2011 của Chính phủ về tổ chức và chính sách đối với thanh niên xung phong</w:t>
            </w:r>
          </w:p>
        </w:tc>
        <w:tc>
          <w:p/>
          <w:p>
            <w:pPr>
              <w:spacing w:after="0" w:before="0" w:lineRule="auto" w:line="276"/>
              <w:jc w:val="left"/>
            </w:pPr>
            <w:r>
              <w:rPr>
                <w:rFonts w:ascii="Times New Roman" w:hAnsi="Times New Roman" w:cs="Times New Roman" w:eastAsia="Times New Roman"/>
                <w:b w:val="false"/>
                <w:sz w:val="26"/>
              </w:rPr>
              <w:t>26-09-2011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2026-05-22T16:38:01Z</dcterms:created>
  <dc:creator>Apache POI</dc:creator>
</cp:coreProperties>
</file>