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737/QĐ-UBND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 trả trợ cấp xã hội hàng tháng, hỗ trợ kinh phí chăm sóc, nuôi dưỡng hàng tháng khi đối tượng thay đổi nơi cư trú trong cùng địa bàn quận, huyện, thị xã, thành phố thuộc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Đối tượng hoặc người giám hộ của đối tượng có văn bản đề nghị đến Bộ phận tiếp nhận và trả kết quả của UBND cấp xã.</w:t>
      </w:r>
    </w:p>
    <w:p>
      <w:pPr>
        <w:spacing w:after="0" w:before="0" w:lineRule="auto" w:line="276"/>
        <w:jc w:val="both"/>
      </w:pPr>
      <w:r>
        <w:rPr>
          <w:rFonts w:ascii="Times New Roman" w:hAnsi="Times New Roman" w:cs="Times New Roman" w:eastAsia="Times New Roman"/>
          <w:b w:val="false"/>
          <w:sz w:val="26"/>
        </w:rPr>
        <w:t>- Bước 2: Trong thời hạn 03 ngày làm việc, kể từ ngày nhận được văn bản đề nghị, Chủ tịch Ủy ban nhân dân cấp xã có văn bản gửi Phòng Y tế.</w:t>
      </w:r>
    </w:p>
    <w:p>
      <w:pPr>
        <w:spacing w:after="0" w:before="0" w:lineRule="auto" w:line="276"/>
        <w:jc w:val="both"/>
      </w:pPr>
      <w:r>
        <w:rPr>
          <w:rFonts w:ascii="Times New Roman" w:hAnsi="Times New Roman" w:cs="Times New Roman" w:eastAsia="Times New Roman"/>
          <w:b w:val="false"/>
          <w:sz w:val="26"/>
        </w:rPr>
        <w:t>- Bước 3: Trong thời hạn 03 ngày làm việc, kể từ ngày nhận được văn bản của Chủ tịch Ủy ban nhân dân cấp xã, Phòng Y tế có trách nhiệm thẩm định và thực hiện chi trả trợ cấp xã hội hàng tháng, hỗ trợ kinh phí chăm sóc, nuôi dưỡng hàng tháng cho đối tượng theo địa chỉ nơi cư trú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 Ủy ban nhân dân cấp Huyện, Phòng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 nơi cư trú mới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Chi trả trợ cấp xã hội hàng tháng, hỗ trợ kinh phí chăm sóc, nuôi dưỡng hàng tháng cho đối tượng theo địa chỉ nơi cư trú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 -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15-03-2021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2026-05-14T14:52:53Z</dcterms:created>
  <dc:creator>Apache POI</dc:creator>
</cp:coreProperties>
</file>