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1.005202.000.00.00.H36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165/QĐ-UBND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quỹ tự giải thể</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Quản lý nhà nước về hội, quỹ</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Trong thời hạn 15 ngày làm việc kể từ ngày kết thúc thời hạn ghi trong thông báo thanh toán nợ và thanh lý tài sản, tài chính của quỹ khi quỹ tự giải thể mà không có đơn khiếu nại, Ủy ban nhân dân cấp huyện xem xét, quyết định giải thể và thu hồi giấy phép thành lập và công nhận điều lệ quỹ.</w:t>
      </w:r>
    </w:p>
    <w:p>
      <w:pPr>
        <w:spacing w:after="0" w:before="0" w:lineRule="auto" w:line="276"/>
        <w:jc w:val="both"/>
      </w:pPr>
      <w:r>
        <w:rPr>
          <w:rFonts w:ascii="Times New Roman" w:hAnsi="Times New Roman" w:cs="Times New Roman" w:eastAsia="Times New Roman"/>
          <w:b w:val="false"/>
          <w:sz w:val="26"/>
        </w:rPr>
        <w:t>ng Nội vụ) đề nghị giải thể quỹ.</w:t>
      </w:r>
    </w:p>
    <w:p>
      <w:pPr>
        <w:spacing w:after="0" w:before="0" w:lineRule="auto" w:line="276"/>
        <w:jc w:val="both"/>
      </w:pPr>
      <w:r>
        <w:rPr>
          <w:rFonts w:ascii="Times New Roman" w:hAnsi="Times New Roman" w:cs="Times New Roman" w:eastAsia="Times New Roman"/>
          <w:b w:val="false"/>
          <w:sz w:val="26"/>
        </w:rPr>
        <w:t>Trong thời hạn 05 ngày làm việc kể từ khi tiếp nhận hồ sơ, cán bộ tiếp nhận hồ sơ xem xét hồ sơ và đề nghị bổ sung trong trường hợp hồ sơ chưa đầy đủ và hợp pháp.</w:t>
      </w:r>
    </w:p>
    <w:p>
      <w:pPr>
        <w:spacing w:after="0" w:before="0" w:lineRule="auto" w:line="276"/>
        <w:jc w:val="both"/>
      </w:pPr>
      <w:r>
        <w:rPr>
          <w:rFonts w:ascii="Times New Roman" w:hAnsi="Times New Roman" w:cs="Times New Roman" w:eastAsia="Times New Roman"/>
          <w:b w:val="false"/>
          <w:sz w:val="26"/>
        </w:rPr>
        <w:t>Cán bộ tiếp nhận hồ sơ nghiên cứu, thẩm định hồ sơ, thực hiện quy trình lấy ý kiến các cơ quan có liên quan; tổng hợp các ý kiến góp ý đề nghị bổ sung thêm hồ sơ theo ý kiến góp ý (nếu có).</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Nộp hồ sơ trực tiếp tại Ủy ban nhân dân cấp huyện (Phòng Nội vụ) hoặc qua đường bưu điện. Hồ sơ phải có xác nhận văn bản đến của cơ quan có thẩm quyền, nếu gửi qua đường bưu điện, thời gian được tính từ ngày đến trên phong bì.
Thời hạn giải quyết: 15 ngày làm việc kể từ ngày kết thúc thời hạn ghi trong thông báo thanh toán nợ và thanh lý tài sản, tài chính của quỹ khi quỹ tự giải thể mà không có đơn khiếu nại.</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Nộp hồ sơ trực tiếp tại Ủy ban nhân dân cấp huyện (Phòng Nội vụ) hoặc qua đường bưu điện. Hồ sơ phải có xác nhận văn bản đến của cơ quan có thẩm quyền, nếu gửi qua đường bưu điện, thời gian được tính từ ngày đến trên phong bì.
Thời hạn giải quyết: 15 ngày làm việc kể từ ngày kết thúc thời hạn ghi trong thông báo thanh toán nợ và thanh lý tài sản, tài chính của quỹ khi quỹ tự giải thể mà không có đơn khiếu nại.</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giải thể quỹ (theo mẫu);</w:t>
            </w:r>
          </w:p>
        </w:tc>
        <w:tc>
          <w:p/>
          <w:p>
            <w:pPr>
              <w:spacing w:after="0" w:before="0" w:lineRule="auto" w:line="276"/>
              <w:jc w:val="left"/>
            </w:pPr>
            <w:r>
              <w:rPr>
                <w:rFonts w:ascii="Times New Roman" w:hAnsi="Times New Roman" w:cs="Times New Roman" w:eastAsia="Times New Roman"/>
                <w:b w:val="false"/>
                <w:sz w:val="26"/>
              </w:rPr>
              <w:t>Mau 8-TT02.doc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Nghị quyết của Hội đồng quản lý quỹ về tự giải thể, trong đó nêu rõ lý do giải thể quỹ</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kiểm kê tài sản, tài chính của quỹ có chữ ký của Chủ tịch Hội đồng quản lý quỹ, Trưởng Ban Kiểm tra, Giám đốc và phụ trách kế toán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Dự kiến phương thức xử lý tài sản, tài chính, lao động và thời hạn thanh toán các khoản nợ</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Thông báo thời hạn thanh toán nợ (nếu có) cho các tổ chức và cá nhân có liên quan theo quy định của pháp luật và thông báo liên tiếp trên 03 số báo viết hoặc báo điện tử ở Trung ương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Các tài liệu chứng minh việc hoàn thành nghĩa vụ tài sản, tài chính của quỹ</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UBND thành phố Đà Lạt - Tỉnh Lâm Đồng, UBND thành phố Bảo Lộc - Tỉnh Lâm Đồng, UBND huyện Lạc Dương  - Tỉnh Lâm Đồng, UBND huyện Đức Trọng - Tỉnh Lâm Đồng, UBND huyện Đơn Dương - Tỉnh Lâm Đồng, UBND huyện Lâm Hà - Tỉnh Lâm Đồng, UBND huyện Đam Rông - Tỉnh Lâm Đồng, UBND huyện Di Linh - Tỉnh Lâm Đồng, UBND huyện Bảo Lâm - Tỉnh Lâm Đồng, UBND huyện Đạ Huoai - Tỉnh Lâm Đồng, UBND huyện Đạ Tẻh - Tỉnh Lâm Đồng, UBND huyện Cát Tiên - Tỉnh Lâm Đồng, Phòng Nội vụ huyện Đức Trọng - Tỉnh Lâm Đồng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Nộp trực tiếp hoặc gửi hồ sơ qua đường bưu chính đến Bộ phận tiếp nhận và trả kết quả các huyện, thành phố Đà Lạt, thành phố Bảo Lộc</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giải thể quỹ.</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 xml:space="preserve">30/2012/NĐ-CP </w:t>
            </w:r>
          </w:p>
        </w:tc>
        <w:tc>
          <w:p/>
          <w:p>
            <w:pPr>
              <w:spacing w:after="0" w:before="0" w:lineRule="auto" w:line="276"/>
              <w:jc w:val="left"/>
            </w:pPr>
            <w:r>
              <w:rPr>
                <w:rFonts w:ascii="Times New Roman" w:hAnsi="Times New Roman" w:cs="Times New Roman" w:eastAsia="Times New Roman"/>
                <w:b w:val="false"/>
                <w:sz w:val="26"/>
              </w:rPr>
              <w:t>Nghị định</w:t>
            </w:r>
          </w:p>
        </w:tc>
        <w:tc>
          <w:p/>
          <w:p>
            <w:pPr>
              <w:spacing w:after="0" w:before="0" w:lineRule="auto" w:line="276"/>
              <w:jc w:val="left"/>
            </w:pPr>
            <w:r>
              <w:rPr>
                <w:rFonts w:ascii="Times New Roman" w:hAnsi="Times New Roman" w:cs="Times New Roman" w:eastAsia="Times New Roman"/>
                <w:b w:val="false"/>
                <w:sz w:val="26"/>
              </w:rPr>
              <w:t>12-04-2012</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 xml:space="preserve">02/2013/TT-BNV </w:t>
            </w:r>
          </w:p>
        </w:tc>
        <w:tc>
          <w:p/>
          <w:p>
            <w:pPr>
              <w:spacing w:after="0" w:before="0" w:lineRule="auto" w:line="276"/>
              <w:jc w:val="left"/>
            </w:pPr>
            <w:r>
              <w:rPr>
                <w:rFonts w:ascii="Times New Roman" w:hAnsi="Times New Roman" w:cs="Times New Roman" w:eastAsia="Times New Roman"/>
                <w:b w:val="false"/>
                <w:sz w:val="26"/>
              </w:rPr>
              <w:t>Thông tư</w:t>
            </w:r>
          </w:p>
        </w:tc>
        <w:tc>
          <w:p/>
          <w:p>
            <w:pPr>
              <w:spacing w:after="0" w:before="0" w:lineRule="auto" w:line="276"/>
              <w:jc w:val="left"/>
            </w:pPr>
            <w:r>
              <w:rPr>
                <w:rFonts w:ascii="Times New Roman" w:hAnsi="Times New Roman" w:cs="Times New Roman" w:eastAsia="Times New Roman"/>
                <w:b w:val="false"/>
                <w:sz w:val="26"/>
              </w:rPr>
              <w:t>10-04-2013</w:t>
            </w:r>
          </w:p>
        </w:tc>
        <w:tc>
          <w:p/>
          <w:p>
            <w:pPr>
              <w:spacing w:after="0" w:before="0" w:lineRule="auto" w:line="276"/>
              <w:jc w:val="left"/>
            </w:pPr>
            <w:r>
              <w:rPr>
                <w:rFonts w:ascii="Times New Roman" w:hAnsi="Times New Roman" w:cs="Times New Roman" w:eastAsia="Times New Roman"/>
                <w:b w:val="false"/>
                <w:sz w:val="26"/>
              </w:rPr>
              <w:t>Bộ Nội vụ</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Quỹ chấm dứt hoạt động kể từ ngày quyết định giải thể quỹ của cơ quan nhà nước có thẩm quyền có hiệu lực.</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2026-05-02T23:34:58Z</dcterms:created>
  <dc:creator>Apache POI</dc:creator>
</cp:coreProperties>
</file>