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1.000852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số 151/QĐ-NHNN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bổ sung nghiệp vụ chứng thư chữ ký điện tử</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công nghệ thông tin ngân hàng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Tổ chức quản lý thuê bao gửi hồ sơ tới Ngân hàng Nhà nước Việt Nam đề nghị cấp hoặc bổ sung nghiệp vụ chứng thư chữ ký điện tử cho thuê bao.
- Bước 2: Trong thời hạn 03 ngày làm việc kể từ ngày nhận được hồ sơ đề nghị cấp, bổ sung nghiệp vụ chứng thư chữ ký điện tử hợp lệ, Cục Công nghệ thông tin thực hiện cấp chứng thư chữ ký điện tử hoặc bổ sung nghiệp vụ chứng thư chữ ký điện tử cho thuê bao. Đối với trường hợp cấp chứng thư chữ ký điện tử, Cục Công nghệ thông tin gửi mã kích hoạt kèm trong thông báo cấp chứng thư chữ ký cho thuê bao. Đối với trường hợp bổ sung nghiệp vụ chứng thư chữ ký điện tử, thuê bao không phải kích hoạt lại chứng thư chữ ký điện tử.
Trong thời hạn 02 ngày làm việc kể từ ngày nhận được hồ sơ, trường hợp hồ sơ không hợp lệ, Cục Công nghệ thông tin từ chối xử lý hồ sơ và nêu rõ lý do.Mã kích hoạt chứng thư chữ ký điện tử có thời gian hiệu lực tối đa 30 ngày kể từ ngày chứng thư chữ ký điện tử được cấp. Thời hạn hiệu lực chứng thư chữ ký điện tử của thuê bao tối đa là 05 năm.</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ngày làm việc kể từ ngày nhận được hồ sơ đề nghị cấp, bổ sung nghiệp vụ chứng thư chữ ký điện tử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ngày làm việc kể từ ngày nhận được hồ sơ đề nghị cấp, bổ sung nghiệp vụ chứng thư chữ ký điện tử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ngày làm việc kể từ ngày nhận được hồ sơ đề nghị cấp, bổ sung nghiệp vụ chứng thư chữ ký điện tử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Hồ sơ đề nghị cấp hoặc bổ sung nghiệp vụ chứng thư chữ ký điện tử cho cá nhân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đề nghị cấp, bổ sung nghiệp vụ chứng thư chữ ký điện tử cho cá nhân theo Phụ lục I ban hành kèm theo Thông tư số 59/2025/TT-NHNN;</w:t>
            </w:r>
          </w:p>
        </w:tc>
        <w:tc>
          <w:p/>
          <w:p>
            <w:pPr>
              <w:spacing w:after="0" w:before="0" w:lineRule="auto" w:line="276"/>
              <w:jc w:val="left"/>
            </w:pPr>
            <w:r>
              <w:rPr>
                <w:rFonts w:ascii="Times New Roman" w:hAnsi="Times New Roman" w:cs="Times New Roman" w:eastAsia="Times New Roman"/>
                <w:b w:val="false"/>
                <w:sz w:val="26"/>
              </w:rPr>
              <w:t>PHLCI.docx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thể hiện sự đồng ý của thuê bao cho phép Cục Công nghệ thông tin thu thập, xử lý dữ liệu cá nhân phục vụ cấp chứng thư chữ ký điện tử cho thuê bao theo Phụ lục VIII ban hành kèm theo Thông tư số 59/2025/TT-NHNN;</w:t>
            </w:r>
          </w:p>
        </w:tc>
        <w:tc>
          <w:p/>
          <w:p>
            <w:pPr>
              <w:spacing w:after="0" w:before="0" w:lineRule="auto" w:line="276"/>
              <w:jc w:val="left"/>
            </w:pPr>
            <w:r>
              <w:rPr>
                <w:rFonts w:ascii="Times New Roman" w:hAnsi="Times New Roman" w:cs="Times New Roman" w:eastAsia="Times New Roman"/>
                <w:b w:val="false"/>
                <w:sz w:val="26"/>
              </w:rPr>
              <w:t>PHLCVIII.docx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cá nhân được cấp chứng thư chữ ký điện tử là người có thẩm quyền của cơ quan nhà nước, tổ chức quản lý thuê bao phải gửi kèm trong bộ hồ sơ quyết định bổ nhiệm của người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cá nhân được cấp chứng thư chữ ký điện tử là người được người có thẩm quyền ủy quyền hoặc phân công nhiệm vụ, tổ chức quản lý thuê bao phải gửi kèm trong bộ hồ sơ văn bản ủy quyền hoặc phân công nhiệm vụ. Nội dung ủy quyền hoặc phân công nhiệm vụ phải nêu rõ người được ủy quyền hoặc phân công nhiệm vụ được phép đại diện cho tổ chức ký duyệt hồ sơ, văn bản, tài liệu, báo cáo, giao dịch trên hệ thống thông tin tương ứng với nghiệp vụ của chứng thư chữ ký điện tử đề nghị cấp. Người được ủy quyền không được ủy quyền cho người khác thực hiện.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chứng thư chữ ký điện tử đã được cấp và còn hiệu lực, tuy nhiên thiết bị lưu khóa bị hỏng hoặc chứng thư chữ ký điện tử bị xóa khỏi thiết bị hoặc do nguyên nhân khác dẫn tới lỗi trong quá trình sử dụng, thuê báo có nhu cầu tiếp tục sử dụng thì nộp hồ sơ gồm: Giấy đề nghị cấp, bổ sung nghiệp vụ chứng thư chữ ký điện tử cho cá nhân theo Phụ lục I ban hành kèm theo Thông tư số 59/2025/TT-NHNN.</w:t>
            </w:r>
          </w:p>
        </w:tc>
        <w:tc>
          <w:p/>
          <w:p>
            <w:pPr>
              <w:spacing w:after="0" w:before="0" w:lineRule="auto" w:line="276"/>
              <w:jc w:val="left"/>
            </w:pPr>
            <w:r>
              <w:rPr>
                <w:rFonts w:ascii="Times New Roman" w:hAnsi="Times New Roman" w:cs="Times New Roman" w:eastAsia="Times New Roman"/>
                <w:b w:val="false"/>
                <w:sz w:val="26"/>
              </w:rPr>
              <w:t>PHLCI.docx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Hồ sơ đề nghị cấp hoặc bổ sung nghiệp vụ chứng thư chữ ký điện tử cho tổ chức gồm: Giấy đề nghị cấp, bổ sung nghiệp vụ chứng thư chữ ký điện tử cho tổ chức theo Phụ lục II ban hành kèm theo Thông tư số 59/2025/TT-NHNN.</w:t>
            </w:r>
          </w:p>
        </w:tc>
        <w:tc>
          <w:p/>
          <w:p>
            <w:pPr>
              <w:spacing w:after="0" w:before="0" w:lineRule="auto" w:line="276"/>
              <w:jc w:val="left"/>
            </w:pPr>
            <w:r>
              <w:rPr>
                <w:rFonts w:ascii="Times New Roman" w:hAnsi="Times New Roman" w:cs="Times New Roman" w:eastAsia="Times New Roman"/>
                <w:b w:val="false"/>
                <w:sz w:val="26"/>
              </w:rPr>
              <w:t>PHLCII.docx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Nhà nước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Ngân hàng Nhà nước Việt Nam</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Ngân hàng Nhà nước Việt Nam số 49 Lý Thái Tổ, Hoàn Kiếm, Hà Nội/Dịch vụ Bưu chính/Cổng dịch vụ công quốc gia/Cổng dịch vụ công NHNN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từ chối  cấp hoặc bổ sung nghiệp vụ chứng thư chữ ký điện tử, Thông báo cấp hoặc bổ sung nghiệp vụ chứng thư chữ ký điện tử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số 32/2024/QH15</w:t>
            </w:r>
          </w:p>
        </w:tc>
        <w:tc>
          <w:p/>
          <w:p>
            <w:pPr>
              <w:spacing w:after="0" w:before="0" w:lineRule="auto" w:line="276"/>
              <w:jc w:val="left"/>
            </w:pPr>
            <w:r>
              <w:rPr>
                <w:rFonts w:ascii="Times New Roman" w:hAnsi="Times New Roman" w:cs="Times New Roman" w:eastAsia="Times New Roman"/>
                <w:b w:val="false"/>
                <w:sz w:val="26"/>
              </w:rPr>
              <w:t>Luật Các tổ chức tín dụng</w:t>
            </w:r>
          </w:p>
        </w:tc>
        <w:tc>
          <w:p/>
          <w:p>
            <w:pPr>
              <w:spacing w:after="0" w:before="0" w:lineRule="auto" w:line="276"/>
              <w:jc w:val="left"/>
            </w:pPr>
            <w:r>
              <w:rPr>
                <w:rFonts w:ascii="Times New Roman" w:hAnsi="Times New Roman" w:cs="Times New Roman" w:eastAsia="Times New Roman"/>
                <w:b w:val="false"/>
                <w:sz w:val="26"/>
              </w:rPr>
              <w:t>18-01-2024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số 59/2025/TT-NHNN</w:t>
            </w:r>
          </w:p>
        </w:tc>
        <w:tc>
          <w:p/>
          <w:p>
            <w:pPr>
              <w:spacing w:after="0" w:before="0" w:lineRule="auto" w:line="276"/>
              <w:jc w:val="left"/>
            </w:pPr>
            <w:r>
              <w:rPr>
                <w:rFonts w:ascii="Times New Roman" w:hAnsi="Times New Roman" w:cs="Times New Roman" w:eastAsia="Times New Roman"/>
                <w:b w:val="false"/>
                <w:sz w:val="26"/>
              </w:rPr>
              <w:t>59/2025/TT-NHNN</w:t>
            </w:r>
          </w:p>
        </w:tc>
        <w:tc>
          <w:p/>
          <w:p>
            <w:pPr>
              <w:spacing w:after="0" w:before="0" w:lineRule="auto" w:line="276"/>
              <w:jc w:val="left"/>
            </w:pPr>
            <w:r>
              <w:rPr>
                <w:rFonts w:ascii="Times New Roman" w:hAnsi="Times New Roman" w:cs="Times New Roman" w:eastAsia="Times New Roman"/>
                <w:b w:val="false"/>
                <w:sz w:val="26"/>
              </w:rPr>
              <w:t>29-12-2025</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2026-05-21T16:43:21Z</dcterms:created>
  <dc:creator>Apache POI</dc:creator>
</cp:coreProperties>
</file>