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1.003930.000.00.00.H32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 xml:space="preserve"> Cơ quan đăng ký phương tiện bao gồm:</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xml:space="preserve">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hoặc gửi bản chính hoặc bản sao có chứng thực hoặc bản sao điện tử được chứng thực từ bản chính hoặc bản sao điện tử được cấp từ sổ gốc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(Quầy Sở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75/2014/TT-BGTVT</w:t>
            </w:r>
          </w:p>
        </w:tc>
        <w:tc>
          <w:p/>
          <w:p>
            <w:pPr>
              <w:spacing w:after="0" w:before="0" w:lineRule="auto" w:line="276"/>
              <w:jc w:val="left"/>
            </w:pPr>
            <w:r>
              <w:rPr>
                <w:rFonts w:ascii="Times New Roman" w:hAnsi="Times New Roman" w:cs="Times New Roman" w:eastAsia="Times New Roman"/>
                <w:b w:val="false"/>
                <w:sz w:val="26"/>
              </w:rPr>
              <w:t>Thông tư Thông tư 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đăng ký phương tiện thủy nội địa bị mất, hỏng được cấp lại khi có đủ hồ sơ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2026-05-09T10:00:53Z</dcterms:created>
  <dc:creator>Apache POI</dc:creator>
</cp:coreProperties>
</file>