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1.003687.000.00.00.H37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bưu chính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Bưu chính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cần thay đổi nội dung ghi trong giấy phép bưu chính đã được cấp, doanh nghiệp phải làm thủ tục sửa đổi, bổ sung giấy phép bưu chính gửi đến Sở Thông tin và Truyền thông.</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đáp ứng theo quy định, cơ quan nhà nước có thẩm quyền đã cấp giấy phép bưu chính có trách nhiệm thẩm tra và sửa đổi, bổ sung giấy phép bưu chính. Trường hợp không chấp thuận sửa đổi, bổ sung, cơ quan nhà nước có thẩm quyền đã cấp giấy phép bưu chính phải có thông báo bằng văn bản cho doanh nghiệp và nêu rõ lý do trong thời hạn 05 ngày làm việc kể từ ngày nhận được hồ sơ sửa đổi, bổ sung.</w:t>
      </w:r>
    </w:p>
    <w:p>
      <w:pPr>
        <w:spacing w:after="0" w:before="0" w:lineRule="auto" w:line="276"/>
        <w:jc w:val="both"/>
      </w:pPr>
      <w:r>
        <w:rPr>
          <w:rFonts w:ascii="Times New Roman" w:hAnsi="Times New Roman" w:cs="Times New Roman" w:eastAsia="Times New Roman"/>
          <w:b w:val="false"/>
          <w:sz w:val="26"/>
        </w:rPr>
        <w:t>- Trường hợp sửa đổi, bổ sung phạm vi cung ứng dịch vụ bưu chính dẫn đến thay đổi thẩm quyền cấp giấy phép bưu chính thì doanh nghiệp nộp hồ sơ và thực hiện các thủ tục như cấp giấy phép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(Trường hợp thay đổi các nội dung khác trong giấy phép)</w:t>
            </w:r>
          </w:p>
          <w:p>
            <w:pPr>
              <w:spacing w:after="0" w:before="0" w:lineRule="auto" w:line="276"/>
              <w:jc w:val="left"/>
            </w:pPr>
            <w:r>
              <w:rPr>
                <w:rFonts w:ascii="Times New Roman" w:hAnsi="Times New Roman" w:cs="Times New Roman" w:eastAsia="Times New Roman"/>
                <w:b w:val="false"/>
                <w:sz w:val="26"/>
              </w:rPr>
              <w:t>Phí : 2.750.000 Đồng</w:t>
              <w:t xml:space="preserve"> (Trường hợp mở rộng phạm vi cung ứng dịch vụ nội tỉnh)</w:t>
            </w:r>
          </w:p>
        </w:tc>
        <w:tc>
          <w:p/>
          <w:p>
            <w:pPr>
              <w:spacing w:after="0" w:before="0" w:lineRule="auto" w:line="276"/>
              <w:jc w:val="left"/>
            </w:pPr>
            <w:r>
              <w:rPr>
                <w:rFonts w:ascii="Times New Roman" w:hAnsi="Times New Roman" w:cs="Times New Roman" w:eastAsia="Times New Roman"/>
                <w:b w:val="false"/>
                <w:sz w:val="26"/>
              </w:rPr>
              <w:t>7 ngày làm việc kể từ ngày nhận được hồ sơ đáp ứng các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 Trường hợp thay đổi các nội dung khác trong giấy phép)</w:t>
            </w:r>
          </w:p>
          <w:p>
            <w:pPr>
              <w:spacing w:after="0" w:before="0" w:lineRule="auto" w:line="276"/>
              <w:jc w:val="left"/>
            </w:pPr>
            <w:r>
              <w:rPr>
                <w:rFonts w:ascii="Times New Roman" w:hAnsi="Times New Roman" w:cs="Times New Roman" w:eastAsia="Times New Roman"/>
                <w:b w:val="false"/>
                <w:sz w:val="26"/>
              </w:rPr>
              <w:t>Phí : 2.750.000 Đồng</w:t>
              <w:t xml:space="preserve"> (Trường hợp mở rộng phạm vi cung ứng dịch vụ nội tỉnh)</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đáp ứng các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sửa đổi, bổ sung giấy phép bưu chính;</w:t>
            </w:r>
          </w:p>
        </w:tc>
        <w:tc>
          <w:p/>
          <w:p>
            <w:pPr>
              <w:spacing w:after="0" w:before="0" w:lineRule="auto" w:line="276"/>
              <w:jc w:val="left"/>
            </w:pPr>
            <w:r>
              <w:rPr>
                <w:rFonts w:ascii="Times New Roman" w:hAnsi="Times New Roman" w:cs="Times New Roman" w:eastAsia="Times New Roman"/>
                <w:b w:val="false"/>
                <w:sz w:val="26"/>
              </w:rPr>
              <w:t>Phụ lục IV mau de nghi sua doi bo sung giay phep buu chinh.docx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đến nội dung đề nghị sửa đổi, bổ sung giấy phép bưu chính;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 là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 tỉnh Lạng Sơn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Khoa học và Công nghệ - tỉnh Lạng Sơn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Lạng Sơn. Địa chỉ: phố Dã Tượng, phường Chi Lăng, thành phố Lạng Sơn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bưu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49/2010/QH12</w:t>
            </w:r>
          </w:p>
        </w:tc>
        <w:tc>
          <w:p/>
          <w:p>
            <w:pPr>
              <w:spacing w:after="0" w:before="0" w:lineRule="auto" w:line="276"/>
              <w:jc w:val="left"/>
            </w:pPr>
            <w:r>
              <w:rPr>
                <w:rFonts w:ascii="Times New Roman" w:hAnsi="Times New Roman" w:cs="Times New Roman" w:eastAsia="Times New Roman"/>
                <w:b w:val="false"/>
                <w:sz w:val="26"/>
              </w:rPr>
              <w:t>Luật 49/2010/QH12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47/2011/NĐ-CP</w:t>
            </w:r>
          </w:p>
        </w:tc>
        <w:tc>
          <w:p/>
          <w:p>
            <w:pPr>
              <w:spacing w:after="0" w:before="0" w:lineRule="auto" w:line="276"/>
              <w:jc w:val="left"/>
            </w:pPr>
            <w:r>
              <w:rPr>
                <w:rFonts w:ascii="Times New Roman" w:hAnsi="Times New Roman" w:cs="Times New Roman" w:eastAsia="Times New Roman"/>
                <w:b w:val="false"/>
                <w:sz w:val="26"/>
              </w:rPr>
              <w:t>Nghị định 47/2011/NĐ-CP</w:t>
            </w:r>
          </w:p>
        </w:tc>
        <w:tc>
          <w:p/>
          <w:p>
            <w:pPr>
              <w:spacing w:after="0" w:before="0" w:lineRule="auto" w:line="276"/>
              <w:jc w:val="left"/>
            </w:pPr>
            <w:r>
              <w:rPr>
                <w:rFonts w:ascii="Times New Roman" w:hAnsi="Times New Roman" w:cs="Times New Roman" w:eastAsia="Times New Roman"/>
                <w:b w:val="false"/>
                <w:sz w:val="26"/>
              </w:rPr>
              <w:t>17-06-2011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150/2018/NĐ-CP</w:t>
            </w:r>
          </w:p>
        </w:tc>
        <w:tc>
          <w:p/>
          <w:p>
            <w:pPr>
              <w:spacing w:after="0" w:before="0" w:lineRule="auto" w:line="276"/>
              <w:jc w:val="left"/>
            </w:pPr>
            <w:r>
              <w:rPr>
                <w:rFonts w:ascii="Times New Roman" w:hAnsi="Times New Roman" w:cs="Times New Roman" w:eastAsia="Times New Roman"/>
                <w:b w:val="false"/>
                <w:sz w:val="26"/>
              </w:rPr>
              <w:t>Nghị định 150/2018/NĐ-CP</w:t>
            </w:r>
          </w:p>
        </w:tc>
        <w:tc>
          <w:p/>
          <w:p>
            <w:pPr>
              <w:spacing w:after="0" w:before="0" w:lineRule="auto" w:line="276"/>
              <w:jc w:val="left"/>
            </w:pPr>
            <w:r>
              <w:rPr>
                <w:rFonts w:ascii="Times New Roman" w:hAnsi="Times New Roman" w:cs="Times New Roman" w:eastAsia="Times New Roman"/>
                <w:b w:val="false"/>
                <w:sz w:val="26"/>
              </w:rPr>
              <w:t>07-11-2018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291/2016/TT-BTC	</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thẩm định điều kiện hoạt động bưu chính</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25/2020/TT-BTC</w:t>
            </w:r>
          </w:p>
        </w:tc>
        <w:tc>
          <w:p/>
          <w:p>
            <w:pPr>
              <w:spacing w:after="0" w:before="0" w:lineRule="auto" w:line="276"/>
              <w:jc w:val="left"/>
            </w:pPr>
            <w:r>
              <w:rPr>
                <w:rFonts w:ascii="Times New Roman" w:hAnsi="Times New Roman" w:cs="Times New Roman" w:eastAsia="Times New Roman"/>
                <w:b w:val="false"/>
                <w:sz w:val="26"/>
              </w:rPr>
              <w:t>Thông tư 25/2020/TT-BTC</w:t>
            </w:r>
          </w:p>
        </w:tc>
        <w:tc>
          <w:p/>
          <w:p>
            <w:pPr>
              <w:spacing w:after="0" w:before="0" w:lineRule="auto" w:line="276"/>
              <w:jc w:val="left"/>
            </w:pPr>
            <w:r>
              <w:rPr>
                <w:rFonts w:ascii="Times New Roman" w:hAnsi="Times New Roman" w:cs="Times New Roman" w:eastAsia="Times New Roman"/>
                <w:b w:val="false"/>
                <w:sz w:val="26"/>
              </w:rPr>
              <w:t>14-04-2020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2026-05-19T11:43:05Z</dcterms:created>
  <dc:creator>Apache POI</dc:creator>
</cp:coreProperties>
</file>