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5840/QĐ-NHCS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hộ gia đình sản xuất kinh doanh tại vùng khó khăn mức vay trên 50 triệu đến 100 triệu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Người vay</w:t>
      </w:r>
    </w:p>
    <w:p>
      <w:pPr>
        <w:spacing w:after="0" w:before="0" w:lineRule="auto" w:line="276"/>
        <w:jc w:val="both"/>
      </w:pPr>
      <w:r>
        <w:rPr>
          <w:rFonts w:ascii="Times New Roman" w:hAnsi="Times New Roman" w:cs="Times New Roman" w:eastAsia="Times New Roman"/>
          <w:b w:val="false"/>
          <w:sz w:val="26"/>
        </w:rPr>
        <w:t>Các thành viên hộ gia đình từ đủ 18 tuổi trở lên, có năng lực hành vi dân sự đầy đủ theo quy định của pháp luật, thỏa thuận và lập Giấy ủy quyền (mẫu số 01/UQ) cho 01 trong số các thành viên là đại diện đứng tên người vay và thực hiện các giao dịch với NHCSXH trước sự chứng kiến của Trưởng thôn (Giấy ủy quyền được nộp cho Ban quản lý Tổ Tiết kiệm và vay vốn).
Viết Giấy đề nghị vay vốn kiêm phương án sản xuất theo (mẫu số 01A/TD), có xác nhận của UBND cấp xã gửi NHCSXH nơi thực hiện thủ tục.</w:t>
      </w:r>
    </w:p>
    <w:p>
      <w:pPr>
        <w:shd w:val="clear" w:color="auto" w:fill="F2F6F9"/>
        <w:spacing w:after="0" w:before="120" w:lineRule="auto" w:line="276"/>
        <w:jc w:val="both"/>
      </w:pPr>
      <w:r>
        <w:rPr>
          <w:rFonts w:ascii="Times New Roman" w:hAnsi="Times New Roman" w:cs="Times New Roman" w:eastAsia="Times New Roman"/>
          <w:b w:val="true"/>
          <w:sz w:val="26"/>
        </w:rPr>
        <w:t>NHCSXH nơi thực hiện thủ tục.</w:t>
      </w:r>
    </w:p>
    <w:p>
      <w:pPr>
        <w:spacing w:after="0" w:before="0" w:lineRule="auto" w:line="276"/>
        <w:jc w:val="both"/>
      </w:pPr>
      <w:r>
        <w:rPr>
          <w:rFonts w:ascii="Times New Roman" w:hAnsi="Times New Roman" w:cs="Times New Roman" w:eastAsia="Times New Roman"/>
          <w:b w:val="false"/>
          <w:sz w:val="26"/>
        </w:rPr>
        <w:t>Tiến hành thẩm định; kiểm tra tính hợp pháp, hợp lệ của hồ sơ. Nếu không đủ điều kiện cho vay, NHCSXH gửi thông báo kết quả phê duyệt cho vay (mẫu số 04/TD) tới người vay.</w:t>
      </w:r>
    </w:p>
    <w:p>
      <w:pPr>
        <w:spacing w:after="0" w:before="0" w:lineRule="auto" w:line="276"/>
        <w:jc w:val="both"/>
      </w:pPr>
      <w:r>
        <w:rPr>
          <w:rFonts w:ascii="Times New Roman" w:hAnsi="Times New Roman" w:cs="Times New Roman" w:eastAsia="Times New Roman"/>
          <w:b w:val="false"/>
          <w:sz w:val="26"/>
        </w:rPr>
        <w:t xml:space="preserve">Nếu đủ điều kiện cho vay, NHCSXH thông báo kết quả tới người vay (mẫu số 04/TD) và cùng người vay lập Khế ước nhận nợ kiêm cam kết bảo đảm tiền vay bằng tài sản hình thành từ vốn vay (mẫu số 05/TD).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hồ sơ đề nghị vay vốn trực tiếp cho NHCSXH nơi thực hiện thủ tục.
Trong thời hạn không quá 03 (ba) ngày làm việc kể từ ngày NHCSXH nơi thực hiện thủ tục nhận được bộ hồ sơ đầy đủ, hợp lệ từ người vay.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ủy quyền (mẫu số 01/UQ);</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ủy quyền (mẫu số 01/UQ);</w:t>
            </w:r>
          </w:p>
        </w:tc>
        <w:tc>
          <w:p/>
          <w:p>
            <w:pPr>
              <w:spacing w:after="0" w:before="0" w:lineRule="auto" w:line="276"/>
              <w:jc w:val="left"/>
            </w:pPr>
            <w:r>
              <w:rPr>
                <w:rFonts w:ascii="Times New Roman" w:hAnsi="Times New Roman" w:cs="Times New Roman" w:eastAsia="Times New Roman"/>
                <w:b w:val="false"/>
                <w:sz w:val="26"/>
              </w:rPr>
              <w:t>01-UQ(SĐ)-VB-5650-NHCS-TDNN.doc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vay vốn kiêm phương án sản xuất (mẫu số 01A/TD): 02 bản chính (01 bản lưu người vay, 01 bản lưu NHCSXH nơi thực hiện thủ tục);</w:t>
            </w:r>
          </w:p>
        </w:tc>
        <w:tc>
          <w:p/>
          <w:p>
            <w:pPr>
              <w:spacing w:after="0" w:before="0" w:lineRule="auto" w:line="276"/>
              <w:jc w:val="left"/>
            </w:pPr>
            <w:r>
              <w:rPr>
                <w:rFonts w:ascii="Times New Roman" w:hAnsi="Times New Roman" w:cs="Times New Roman" w:eastAsia="Times New Roman"/>
                <w:b w:val="false"/>
                <w:sz w:val="26"/>
              </w:rPr>
              <w:t>01A-TD-(SĐ) 677-NHCS-TD 22.4.2007.doc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Khế ước nhận nợ kiêm cam kết bảo đảm tiền vay bằng tài sản hình thành từ vốn vay (mẫu số 05/TD): 02 bản chính (01 bản lưu người vay, 01 bản lưu NHCSXH nơi thực hiện thủ tục);</w:t>
            </w:r>
          </w:p>
        </w:tc>
        <w:tc>
          <w:p/>
          <w:p>
            <w:pPr>
              <w:spacing w:after="0" w:before="0" w:lineRule="auto" w:line="276"/>
              <w:jc w:val="left"/>
            </w:pPr>
            <w:r>
              <w:rPr>
                <w:rFonts w:ascii="Times New Roman" w:hAnsi="Times New Roman" w:cs="Times New Roman" w:eastAsia="Times New Roman"/>
                <w:b w:val="false"/>
                <w:sz w:val="26"/>
              </w:rPr>
              <w:t>05-TD-VB-5589-KTTC ngay 29.12.2017.doc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Khế ước nhận nợ kiêm cam kết bảo đảm tiền vay bằng tài sản hình thành từ vốn vay bổ sung (mẫu số 05A/TD): 02 bản chính (01 bản lưu người vay, 01 bản lưu NHCSXH nơi thực hiện thủ tục).</w:t>
            </w:r>
          </w:p>
        </w:tc>
        <w:tc>
          <w:p/>
          <w:p>
            <w:pPr>
              <w:spacing w:after="0" w:before="0" w:lineRule="auto" w:line="276"/>
              <w:jc w:val="left"/>
            </w:pPr>
            <w:r>
              <w:rPr>
                <w:rFonts w:ascii="Times New Roman" w:hAnsi="Times New Roman" w:cs="Times New Roman" w:eastAsia="Times New Roman"/>
                <w:b w:val="false"/>
                <w:sz w:val="26"/>
              </w:rPr>
              <w:t>05A-TD (CV-720NHCS-TDNN-HSSV).doc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vay vốn.</w:t>
            </w:r>
          </w:p>
        </w:tc>
        <w:tc>
          <w:p/>
          <w:p>
            <w:pPr>
              <w:spacing w:after="0" w:before="0" w:lineRule="auto" w:line="276"/>
              <w:jc w:val="left"/>
            </w:pPr>
            <w:r>
              <w:rPr>
                <w:rFonts w:ascii="Times New Roman" w:hAnsi="Times New Roman" w:cs="Times New Roman" w:eastAsia="Times New Roman"/>
                <w:b w:val="false"/>
                <w:sz w:val="26"/>
              </w:rPr>
              <w:t>Sổ vay vốn-VB-5589-KTTC-29.12.2017 (%năm).doc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78/2002/NĐ-CP</w:t>
            </w:r>
          </w:p>
        </w:tc>
        <w:tc>
          <w:p/>
          <w:p>
            <w:pPr>
              <w:spacing w:after="0" w:before="0" w:lineRule="auto" w:line="276"/>
              <w:jc w:val="left"/>
            </w:pPr>
            <w:r>
              <w:rPr>
                <w:rFonts w:ascii="Times New Roman" w:hAnsi="Times New Roman" w:cs="Times New Roman" w:eastAsia="Times New Roman"/>
                <w:b w:val="false"/>
                <w:sz w:val="26"/>
              </w:rPr>
              <w:t>Về tín dụng đối với người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31/2007/QĐ-TTg	</w:t>
            </w:r>
          </w:p>
        </w:tc>
        <w:tc>
          <w:p/>
          <w:p>
            <w:pPr>
              <w:spacing w:after="0" w:before="0" w:lineRule="auto" w:line="276"/>
              <w:jc w:val="left"/>
            </w:pPr>
            <w:r>
              <w:rPr>
                <w:rFonts w:ascii="Times New Roman" w:hAnsi="Times New Roman" w:cs="Times New Roman" w:eastAsia="Times New Roman"/>
                <w:b w:val="false"/>
                <w:sz w:val="26"/>
              </w:rPr>
              <w:t>Về tín dụng đối với hộ gia đình sản xuất, kinh doanh tại vùng khó khăn</w:t>
            </w:r>
          </w:p>
        </w:tc>
        <w:tc>
          <w:p/>
          <w:p>
            <w:pPr>
              <w:spacing w:after="0" w:before="0" w:lineRule="auto" w:line="276"/>
              <w:jc w:val="left"/>
            </w:pPr>
            <w:r>
              <w:rPr>
                <w:rFonts w:ascii="Times New Roman" w:hAnsi="Times New Roman" w:cs="Times New Roman" w:eastAsia="Times New Roman"/>
                <w:b w:val="false"/>
                <w:sz w:val="26"/>
              </w:rPr>
              <w:t>05-03-2007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677/NHCS-TD</w:t>
            </w:r>
          </w:p>
        </w:tc>
        <w:tc>
          <w:p/>
          <w:p>
            <w:pPr>
              <w:spacing w:after="0" w:before="0" w:lineRule="auto" w:line="276"/>
              <w:jc w:val="left"/>
            </w:pPr>
            <w:r>
              <w:rPr>
                <w:rFonts w:ascii="Times New Roman" w:hAnsi="Times New Roman" w:cs="Times New Roman" w:eastAsia="Times New Roman"/>
                <w:b w:val="false"/>
                <w:sz w:val="26"/>
              </w:rPr>
              <w:t>V/v hướng dẫn thực hiện cho vay vốn theo Quyết định số 31/2007/QĐ-TTg ngày 05/3/2007 của Thủ tướng Chính phủ về tín dụng đối với hộ gia đình sản xuất, kinh doanh tại vùng khó khăn.</w:t>
            </w:r>
          </w:p>
        </w:tc>
        <w:tc>
          <w:p/>
          <w:p>
            <w:pPr>
              <w:spacing w:after="0" w:before="0" w:lineRule="auto" w:line="276"/>
              <w:jc w:val="left"/>
            </w:pPr>
            <w:r>
              <w:rPr>
                <w:rFonts w:ascii="Times New Roman" w:hAnsi="Times New Roman" w:cs="Times New Roman" w:eastAsia="Times New Roman"/>
                <w:b w:val="false"/>
                <w:sz w:val="26"/>
              </w:rPr>
              <w:t>22-04-2007</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V/v hướng dẫn sửa đổi, bổ sung, thay thế một số điểm trong các văn bản hướng dẫn nghiệp vụ cho vay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1049/QĐ-TTg	</w:t>
            </w:r>
          </w:p>
        </w:tc>
        <w:tc>
          <w:p/>
          <w:p>
            <w:pPr>
              <w:spacing w:after="0" w:before="0" w:lineRule="auto" w:line="276"/>
              <w:jc w:val="left"/>
            </w:pPr>
            <w:r>
              <w:rPr>
                <w:rFonts w:ascii="Times New Roman" w:hAnsi="Times New Roman" w:cs="Times New Roman" w:eastAsia="Times New Roman"/>
                <w:b w:val="false"/>
                <w:sz w:val="26"/>
              </w:rPr>
              <w:t>Ban hành Danh mục các đơn vị hành chính thuộc vùng khó khăn</w:t>
            </w:r>
          </w:p>
        </w:tc>
        <w:tc>
          <w:p/>
          <w:p>
            <w:pPr>
              <w:spacing w:after="0" w:before="0" w:lineRule="auto" w:line="276"/>
              <w:jc w:val="left"/>
            </w:pPr>
            <w:r>
              <w:rPr>
                <w:rFonts w:ascii="Times New Roman" w:hAnsi="Times New Roman" w:cs="Times New Roman" w:eastAsia="Times New Roman"/>
                <w:b w:val="false"/>
                <w:sz w:val="26"/>
              </w:rPr>
              <w:t>26-06-2014</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91/2015/QH13	</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12/2016/QĐ-TTg</w:t>
            </w:r>
          </w:p>
        </w:tc>
        <w:tc>
          <w:p/>
          <w:p>
            <w:pPr>
              <w:spacing w:after="0" w:before="0" w:lineRule="auto" w:line="276"/>
              <w:jc w:val="left"/>
            </w:pPr>
            <w:r>
              <w:rPr>
                <w:rFonts w:ascii="Times New Roman" w:hAnsi="Times New Roman" w:cs="Times New Roman" w:eastAsia="Times New Roman"/>
                <w:b w:val="false"/>
                <w:sz w:val="26"/>
              </w:rPr>
              <w:t>Về việc tiếp tục thực hiện Quyết định số 30/2012/QĐ-TTg ngày 18 tháng 7 năm 2012 và Quyết định số 1049/QĐ-TTg ngày 26 tháng 6 năm 2014 Thủ tướng Chính phủ</w:t>
            </w:r>
          </w:p>
        </w:tc>
        <w:tc>
          <w:p/>
          <w:p>
            <w:pPr>
              <w:spacing w:after="0" w:before="0" w:lineRule="auto" w:line="276"/>
              <w:jc w:val="left"/>
            </w:pPr>
            <w:r>
              <w:rPr>
                <w:rFonts w:ascii="Times New Roman" w:hAnsi="Times New Roman" w:cs="Times New Roman" w:eastAsia="Times New Roman"/>
                <w:b w:val="false"/>
                <w:sz w:val="26"/>
              </w:rPr>
              <w:t>11-03-2016</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575/NHCS-TDSV</w:t>
            </w:r>
          </w:p>
        </w:tc>
        <w:tc>
          <w:p/>
          <w:p>
            <w:pPr>
              <w:spacing w:after="0" w:before="0" w:lineRule="auto" w:line="276"/>
              <w:jc w:val="left"/>
            </w:pPr>
            <w:r>
              <w:rPr>
                <w:rFonts w:ascii="Times New Roman" w:hAnsi="Times New Roman" w:cs="Times New Roman" w:eastAsia="Times New Roman"/>
                <w:b w:val="false"/>
                <w:sz w:val="26"/>
              </w:rPr>
              <w:t>V/v hướng dẫn điều chỉnh mức cho vay theo Quyết định số 306/QĐ-TTg ngày 26/02/2016 của Thủ tướng Chính phủ;</w:t>
            </w:r>
          </w:p>
        </w:tc>
        <w:tc>
          <w:p/>
          <w:p>
            <w:pPr>
              <w:spacing w:after="0" w:before="0" w:lineRule="auto" w:line="276"/>
              <w:jc w:val="left"/>
            </w:pPr>
            <w:r>
              <w:rPr>
                <w:rFonts w:ascii="Times New Roman" w:hAnsi="Times New Roman" w:cs="Times New Roman" w:eastAsia="Times New Roman"/>
                <w:b w:val="false"/>
                <w:sz w:val="26"/>
              </w:rPr>
              <w:t>14-03-2016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V/v bổ sung nội dung giao dịch dân sự giữa NHCSXH với hộ gia đình vay vốn kể từ ngày 01/01/2017.</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vay vốn phải có dự án hoặc phương án sản xuất, kinh doanh được UBND cấp xã nơi thực hiện dự án hoặc phương án sản xuất, kinh doanh xác nhận; 
- Người vay vốn phải có năng lực hành vi dân sự đầy đủ;
- Người vay vốn cư trú hợp pháp tại nơi thực hiện dự án hoặc phương án sản xuất,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2026-05-10T16:03:24Z</dcterms:created>
  <dc:creator>Apache POI</dc:creator>
</cp:coreProperties>
</file>