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thuốc gia công (thành phẩm hóa dược, vắc xin, huyết thanh chứa kháng thể, sinh phẩm y tế)-thuốc đăng ký gia công lần đầu đã thực hiện theo ACTD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Hồ sơ đăng ký được gửi về Cục Quản lý Dược (Cục QLD)</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	Cục Quản lý Dược tiếp nhận, thẩm định hồ sơ và tổ chức hội đồng xét duyệt thuốc và ban hành danh mục thuốc được cấp số đăng ký;</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	Trả cho đơn vị thông báo, Quyết định ban hành số đăng ký tại nơi tiếp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Lệ phí : 4.500.000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II - Hồ sơ chất lượng bao gồm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Tiêu chuẩn và phương pháp kiểm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	Phần I. Hồ sơ hành chính và thông tin sản phẩm;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Mục lục</w:t>
            </w:r>
          </w:p>
        </w:tc>
        <w:tc>
          <w:p/>
          <w:p>
            <w:pPr>
              <w:spacing w:after="0" w:before="0" w:lineRule="auto" w:line="276"/>
              <w:jc w:val="left"/>
            </w:pPr>
            <w:r>
              <w:rPr>
                <w:rFonts w:ascii="Times New Roman" w:hAnsi="Times New Roman" w:cs="Times New Roman" w:eastAsia="Times New Roman"/>
                <w:b w:val="false"/>
                <w:sz w:val="26"/>
              </w:rPr>
              <w:t>mẫu số 2aGC.docx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4- Giấy ủy quyền (nếu có) – Mẫu số 3a/GC hoặc Mẫu số 3b/GC</w:t>
            </w:r>
          </w:p>
        </w:tc>
        <w:tc>
          <w:p/>
          <w:p>
            <w:pPr>
              <w:spacing w:after="0" w:before="0" w:lineRule="auto" w:line="276"/>
              <w:jc w:val="left"/>
            </w:pPr>
            <w:r>
              <w:rPr>
                <w:rFonts w:ascii="Times New Roman" w:hAnsi="Times New Roman" w:cs="Times New Roman" w:eastAsia="Times New Roman"/>
                <w:b w:val="false"/>
                <w:sz w:val="26"/>
              </w:rPr>
              <w:t>mẫu số 3a GC.docx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 Trang bìa – Mẫu số 1/GC</w:t>
            </w:r>
          </w:p>
        </w:tc>
        <w:tc>
          <w:p/>
          <w:p>
            <w:pPr>
              <w:spacing w:after="0" w:before="0" w:lineRule="auto" w:line="276"/>
              <w:jc w:val="left"/>
            </w:pPr>
            <w:r>
              <w:rPr>
                <w:rFonts w:ascii="Times New Roman" w:hAnsi="Times New Roman" w:cs="Times New Roman" w:eastAsia="Times New Roman"/>
                <w:b w:val="false"/>
                <w:sz w:val="26"/>
              </w:rPr>
              <w:t>mẫu số 1 GC.docx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9- Nhãn thuốc: Các nhãn này được gắn trên giấy A4 có đóng dấu giáp lai của cơ sở đăng ký - 03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Đơn đăng ký – Mẫu số 2c/GC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5- Giấy chứng nhận đủ điều kiện kinh doanh thuốc nếu là cơ sở kinh doanh thuốc của Việt Nam (Bản chụp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Giấy chứng nhận CPP – Mẫu 1/ACTD đối với thuốc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7- Giấy chứng nhận FSC đối với trường hợp cơ sở đăng ký thuốc nước ngoài không có CPP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8- Giấy chứng nhận GMP hoặc ISO của cơ sở sản xuất thuốc nước ngoài nếu cơ sở đăng ký thuốc nộp FSC hoặc CPP không có xác nhận cơ sở sản xuất thuốc đạt tiêu chuẩn GMP. Trường hợp có nhiều cơ sơ sản xuất tham gia và quá trình sản xuất thuốc, cơ sở đăng ký thuốc phải nộp giấy chứng nhận GMP của tất cả các cơ sở sản xuất có tham gia trong quá trình sản xuất ra thành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10. Thông tin sản phẩm: tờ Hướng dẫn sử dụng hoặc Thông tin cho bệnh nhân hoặc Tóm tắt đặc tính sản phẩm theo quy định đối với từng loại thuốc tương ứng có đóng dấu giáp lai của cơ sở đăng ký - 03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11. Mẫu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12. Tóm tắt về sản phẩm (Mẫu số 7c/GC);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13. Giấy chứng nhận, văn bằng bảo hộ, hợp đồng chuyển giao quyền đối tượng sở hữu công nghiệp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14. Các giấy tờ pháp lý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III- Báo cáo lưu hành – Mẫu 5/GC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Báo cáo lưu hành – Mẫu 5/GC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ban hành số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79/2006/NĐ-CP</w:t>
            </w:r>
          </w:p>
        </w:tc>
        <w:tc>
          <w:p/>
          <w:p>
            <w:pPr>
              <w:spacing w:after="0" w:before="0" w:lineRule="auto" w:line="276"/>
              <w:jc w:val="left"/>
            </w:pPr>
            <w:r>
              <w:rPr>
                <w:rFonts w:ascii="Times New Roman" w:hAnsi="Times New Roman" w:cs="Times New Roman" w:eastAsia="Times New Roman"/>
                <w:b w:val="false"/>
                <w:sz w:val="26"/>
              </w:rPr>
              <w:t>Nghị định 79/2006/NĐ-CP -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09-08-2016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89/2012/NĐ-CP</w:t>
            </w:r>
          </w:p>
        </w:tc>
        <w:tc>
          <w:p/>
          <w:p>
            <w:pPr>
              <w:spacing w:after="0" w:before="0" w:lineRule="auto" w:line="276"/>
              <w:jc w:val="left"/>
            </w:pPr>
            <w:r>
              <w:rPr>
                <w:rFonts w:ascii="Times New Roman" w:hAnsi="Times New Roman" w:cs="Times New Roman" w:eastAsia="Times New Roman"/>
                <w:b w:val="false"/>
                <w:sz w:val="26"/>
              </w:rPr>
              <w:t>Nghị định 89/2012/NĐ-CP - Sửa đổi, bổ sung một số điều của Nghị định số 79/2006/NĐ-CP ngày 09 tháng 8 năm 2006 của Chính phủ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23/2013/TT-BYT</w:t>
            </w:r>
          </w:p>
        </w:tc>
        <w:tc>
          <w:p/>
          <w:p>
            <w:pPr>
              <w:spacing w:after="0" w:before="0" w:lineRule="auto" w:line="276"/>
              <w:jc w:val="left"/>
            </w:pPr>
            <w:r>
              <w:rPr>
                <w:rFonts w:ascii="Times New Roman" w:hAnsi="Times New Roman" w:cs="Times New Roman" w:eastAsia="Times New Roman"/>
                <w:b w:val="false"/>
                <w:sz w:val="26"/>
              </w:rPr>
              <w:t>Thông tư 23/2013/TT-BYT</w:t>
            </w:r>
          </w:p>
        </w:tc>
        <w:tc>
          <w:p/>
          <w:p>
            <w:pPr>
              <w:spacing w:after="0" w:before="0" w:lineRule="auto" w:line="276"/>
              <w:jc w:val="left"/>
            </w:pPr>
            <w:r>
              <w:rPr>
                <w:rFonts w:ascii="Times New Roman" w:hAnsi="Times New Roman" w:cs="Times New Roman" w:eastAsia="Times New Roman"/>
                <w:b w:val="false"/>
                <w:sz w:val="26"/>
              </w:rPr>
              <w:t>13-08-2013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2026-05-25T15:05:12Z</dcterms:created>
  <dc:creator>Apache POI</dc:creator>
</cp:coreProperties>
</file>