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1.001739.000.00.00.H56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1032/QĐ-UBND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Nhận chăm sóc, nuôi dưỡng đối tượng cần bảo vệ khẩn cấp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Đối tượng hoặc người giám hộ của đối tượng có đơn kèm theo biên bản về vụ việc bạo hành, xâm hại và văn bản xác nhận tình trạng sức khỏe của cơ sở khám bệnh, chữa bệnh (nếu có) gửi Chủ tịch Ủy ban nhân dân cấp xã. Công chức cấp xã phụ trách công tác lao động, thương binh và xã hội nơi trẻ em, người lang thang xin ăn không có nơi cư trú ổn định bị bạo hành, xâm hại có trách nhiệm lập hồ sơ.</w:t>
      </w:r>
    </w:p>
    <w:p>
      <w:pPr>
        <w:spacing w:after="0" w:before="0" w:lineRule="auto" w:line="276"/>
        <w:jc w:val="both"/>
      </w:pPr>
      <w:r>
        <w:rPr>
          <w:rFonts w:ascii="Times New Roman" w:hAnsi="Times New Roman" w:cs="Times New Roman" w:eastAsia="Times New Roman"/>
          <w:b w:val="false"/>
          <w:sz w:val="26"/>
        </w:rPr>
        <w:t>- Bước 2: Trong thời gian không quá 02 ngày làm việc, Chủ tịch Ủy ban nhân dân cấp xã tổ chức kiểm tra, xác minh và có văn bản gửi Văn phòng/ phòng Y tế</w:t>
      </w:r>
    </w:p>
    <w:p>
      <w:pPr>
        <w:spacing w:after="0" w:before="0" w:lineRule="auto" w:line="276"/>
        <w:jc w:val="both"/>
      </w:pPr>
      <w:r>
        <w:rPr>
          <w:rFonts w:ascii="Times New Roman" w:hAnsi="Times New Roman" w:cs="Times New Roman" w:eastAsia="Times New Roman"/>
          <w:b w:val="false"/>
          <w:sz w:val="26"/>
        </w:rPr>
        <w:t>- Bước 3: Trong thời gian không quá 03 ngày làm việc, Văn phòng/phòng Y tế thẩm định, trình Chủ tịch Ủy ban nhân dân cấp huyện quyết định. Trường hợp không hỗ trợ phải trả lời bằng văn bản và nêu rõ lý do.</w:t>
      </w:r>
    </w:p>
    <w:p>
      <w:pPr>
        <w:spacing w:after="0" w:before="0" w:lineRule="auto" w:line="276"/>
        <w:jc w:val="both"/>
      </w:pPr>
      <w:r>
        <w:rPr>
          <w:rFonts w:ascii="Times New Roman" w:hAnsi="Times New Roman" w:cs="Times New Roman" w:eastAsia="Times New Roman"/>
          <w:b w:val="false"/>
          <w:sz w:val="26"/>
        </w:rPr>
        <w:t>- Bước 4: Chủ tịch Ủy ban nhân dân cấp xã tổ chức đưa đối tượng và bàn giao cho tổ chức, cá nhân hoặc hộ gia đình nhận chăm sóc, nuôi dưỡng ngay sau khi có quyết định của Chủ tịch Ủy ban nhân dân cấp huyện.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hồ sơ đầy đủ, hợp lệ
Địa chỉ trực tuyến: https://dichvucong.thanhhoa.gov.vn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nhận chăm sóc, nuôi dưỡng. - Biên bản về vụ việc bạo hành, xâm hại đối tượng và văn bản xác nhận tình trạng sức khỏe đối tượng của cơ sở khám bệnh, chữa bệnh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 tỉnh Thanh Hóa; - Địa chỉ trực tuyến: https://dichvucong.thanhhoa.gov.vn (toàn trình)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15-03-2021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đối tượng cần bảo vệ khẩn cấp gồm:  
- Nạn nhân của bạo lực gia đình; nạn nhân bị xâm hại tình dục, thân thể; nạn nhân bị buôn bán; nạn nhân bị cưỡng bức lao động cần được bảo vệ khẩn cấp trong thời gian chờ đưa về nơi cư trú hoặc đưa vào cơ sở trợ giúp xã hội, nhà xã hội;
- Trẻ em, người lang thang xin ăn trong thời gian chờ đưa về nơi cư trú hoặc đưa vào cơ sở trợ giúp xã hội, nhà xã hội;
- Đối tượng cần bảo vệ khẩn cấp khác theo quyết định của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2026-05-20T08:02:09Z</dcterms:created>
  <dc:creator>Apache POI</dc:creator>
</cp:coreProperties>
</file>