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1.002662.000.00.00.H18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thẩm định nhiệm vụ, nhiệm vụ điều chỉnh quy hoạch chi tiết của dự án đầu tư xây dựng công trình theo hình thức kinh doanh thuộc thẩm quyền phê duyệt của UBND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Quy hoạch đô thị và nông thôn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Chủ đầu tư gửi hồ sơ thẩm định nhiệm vụ, nhiệm vụ điều chỉnh quy hoạch chi tiết tới Trung tâm phục vụ hành chính công cấp xã.</w:t>
      </w:r>
    </w:p>
    <w:p>
      <w:pPr>
        <w:spacing w:after="0" w:before="0" w:lineRule="auto" w:line="276"/>
        <w:jc w:val="both"/>
      </w:pPr>
      <w:r>
        <w:rPr>
          <w:rFonts w:ascii="Times New Roman" w:hAnsi="Times New Roman" w:cs="Times New Roman" w:eastAsia="Times New Roman"/>
          <w:b w:val="false"/>
          <w:sz w:val="26"/>
        </w:rPr>
        <w:t>UBND cấp xã sau khi xem xét hồ sơ hợp lệ, tiếp nhận hồ sơ và tổ chức thẩm định theo đúng thời hạn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(Chi phí thẩm định nhiệm vụ quy hoạch được xác định bằng 20% so với chi phí lập nhiệm vụ quy hoạch.)</w:t>
              <w:br/>
              <w:t>File đính kèm: BXD_05_2017-TT-BXD_05042017.signed.pdf</w:t>
            </w:r>
          </w:p>
        </w:tc>
        <w:tc>
          <w:p/>
          <w:p>
            <w:pPr>
              <w:spacing w:after="0" w:before="0" w:lineRule="auto" w:line="276"/>
              <w:jc w:val="left"/>
            </w:pPr>
            <w:r>
              <w:rPr>
                <w:rFonts w:ascii="Times New Roman" w:hAnsi="Times New Roman" w:cs="Times New Roman" w:eastAsia="Times New Roman"/>
                <w:b w:val="false"/>
                <w:sz w:val="26"/>
              </w:rPr>
              <w:t xml:space="preserve"> Không quá 15 ngày làm việc kể từ ngày nhận đủ hồ sơ hợp lệ, không kể thời gian Chủ đầu tư bổ sung hồ sơ hoặc phải xin ý kiến các cơ quan có liên quan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Đối với thẩm định nhiệm vụ, nhiệm vụ điều chỉnh quy hoạch chi tiết(theo quy định của Luật Quy hoạch đô thị và Nghị định số 37/2010/NĐ-CP), thành phần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(2) thuyết minh nội dung nhiệm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Dự thảo quyết định phê duyệt nhiệm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Các bản vẽ in màu thu nhỏ</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Tờ trình đề nghị thẩm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các văn bản pháp lý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thẩm định nhiệm vụ, nhiệm vụ điều chỉnh quy hoạch chi tiếtxây dựng khu chức năng đặc thù, điểm dân cư nông thôn (theo quy định của Luật Xây dựng và Nghị định số 44/2015/NĐ-CP), thành phần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(2), (3), (4), (5)</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giải trình ý kiến của các cơ quan, tổ chức và cộng đồng dân cư về nội dung nhiệm vụ quy hoạch</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hồ sơ pháp nhân và hồ sơ năng lực của tổ chức tư vấn lập quy hoạch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Báo cáo thẩm định nhiệm vụ, nhiệm vụ điều chỉnh quy hoạch chi tiết của dự án đầu tư xây dựng công trình theo hình thức kinh doanh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30/2009/QH12</w:t>
            </w:r>
          </w:p>
        </w:tc>
        <w:tc>
          <w:p/>
          <w:p>
            <w:pPr>
              <w:spacing w:after="0" w:before="0" w:lineRule="auto" w:line="276"/>
              <w:jc w:val="left"/>
            </w:pPr>
            <w:r>
              <w:rPr>
                <w:rFonts w:ascii="Times New Roman" w:hAnsi="Times New Roman" w:cs="Times New Roman" w:eastAsia="Times New Roman"/>
                <w:b w:val="false"/>
                <w:sz w:val="26"/>
              </w:rPr>
              <w:t>Luật 30/2009/QH12</w:t>
            </w:r>
          </w:p>
        </w:tc>
        <w:tc>
          <w:p/>
          <w:p>
            <w:pPr>
              <w:spacing w:after="0" w:before="0" w:lineRule="auto" w:line="276"/>
              <w:jc w:val="left"/>
            </w:pPr>
            <w:r>
              <w:rPr>
                <w:rFonts w:ascii="Times New Roman" w:hAnsi="Times New Roman" w:cs="Times New Roman" w:eastAsia="Times New Roman"/>
                <w:b w:val="false"/>
                <w:sz w:val="26"/>
              </w:rPr>
              <w:t>17-06-2009</w:t>
            </w:r>
          </w:p>
        </w:tc>
        <w:tc>
          <w:p/>
        </w:tc>
      </w:tr>
      <w:tr>
        <w:tc>
          <w:p/>
          <w:p>
            <w:pPr>
              <w:spacing w:after="0" w:before="0" w:lineRule="auto" w:line="276"/>
              <w:jc w:val="left"/>
            </w:pPr>
            <w:r>
              <w:rPr>
                <w:rFonts w:ascii="Times New Roman" w:hAnsi="Times New Roman" w:cs="Times New Roman" w:eastAsia="Times New Roman"/>
                <w:b w:val="false"/>
                <w:sz w:val="26"/>
              </w:rPr>
              <w:t>44/2015/NĐ-CP</w:t>
            </w:r>
          </w:p>
        </w:tc>
        <w:tc>
          <w:p/>
          <w:p>
            <w:pPr>
              <w:spacing w:after="0" w:before="0" w:lineRule="auto" w:line="276"/>
              <w:jc w:val="left"/>
            </w:pPr>
            <w:r>
              <w:rPr>
                <w:rFonts w:ascii="Times New Roman" w:hAnsi="Times New Roman" w:cs="Times New Roman" w:eastAsia="Times New Roman"/>
                <w:b w:val="false"/>
                <w:sz w:val="26"/>
              </w:rPr>
              <w:t>Nghị định 44/2015/NĐ-CP</w:t>
            </w:r>
          </w:p>
        </w:tc>
        <w:tc>
          <w:p/>
          <w:p>
            <w:pPr>
              <w:spacing w:after="0" w:before="0" w:lineRule="auto" w:line="276"/>
              <w:jc w:val="left"/>
            </w:pPr>
            <w:r>
              <w:rPr>
                <w:rFonts w:ascii="Times New Roman" w:hAnsi="Times New Roman" w:cs="Times New Roman" w:eastAsia="Times New Roman"/>
                <w:b w:val="false"/>
                <w:sz w:val="26"/>
              </w:rPr>
              <w:t>06-05-2015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Luật Xây dựng</w:t>
            </w:r>
          </w:p>
        </w:tc>
        <w:tc>
          <w:p/>
          <w:p>
            <w:pPr>
              <w:spacing w:after="0" w:before="0" w:lineRule="auto" w:line="276"/>
              <w:jc w:val="left"/>
            </w:pPr>
            <w:r>
              <w:rPr>
                <w:rFonts w:ascii="Times New Roman" w:hAnsi="Times New Roman" w:cs="Times New Roman" w:eastAsia="Times New Roman"/>
                <w:b w:val="false"/>
                <w:sz w:val="26"/>
              </w:rPr>
              <w:t>18-06-2014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37/2010/NĐ-CP</w:t>
            </w:r>
          </w:p>
        </w:tc>
        <w:tc>
          <w:p/>
          <w:p>
            <w:pPr>
              <w:spacing w:after="0" w:before="0" w:lineRule="auto" w:line="276"/>
              <w:jc w:val="left"/>
            </w:pPr>
            <w:r>
              <w:rPr>
                <w:rFonts w:ascii="Times New Roman" w:hAnsi="Times New Roman" w:cs="Times New Roman" w:eastAsia="Times New Roman"/>
                <w:b w:val="false"/>
                <w:sz w:val="26"/>
              </w:rPr>
              <w:t>Nghị định 37/2010/NĐ-CP</w:t>
            </w:r>
          </w:p>
        </w:tc>
        <w:tc>
          <w:p/>
          <w:p>
            <w:pPr>
              <w:spacing w:after="0" w:before="0" w:lineRule="auto" w:line="276"/>
              <w:jc w:val="left"/>
            </w:pPr>
            <w:r>
              <w:rPr>
                <w:rFonts w:ascii="Times New Roman" w:hAnsi="Times New Roman" w:cs="Times New Roman" w:eastAsia="Times New Roman"/>
                <w:b w:val="false"/>
                <w:sz w:val="26"/>
              </w:rPr>
              <w:t>07-04-2010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2026-04-29T19:15:56Z</dcterms:created>
  <dc:creator>Apache POI</dc:creator>
</cp:coreProperties>
</file>