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hưu trí hằng tháng đối với sĩ quan, quân nhân chuyên nghiệp, hạ sĩ quan, binh sĩ trực tiếp tham gia kháng chiến chống Mỹ cứu nước nhập ngũ từ ngày 30/4/1975 trở về trước, có đủ 20 năm trở lên phục vụ trong quân đội đã phục viên, xuất ngũ trước ngày 01/4/2000 (trường hợp đối tượng đang hưởng chế độ thương binh 81%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Bảo hiểm xã hội Bộ Quốc phòng xét duyệt, ra quyết định hưởng chế độ hưu trí.</w:t>
      </w:r>
    </w:p>
    <w:p>
      <w:pPr>
        <w:spacing w:after="0" w:before="0" w:lineRule="auto" w:line="276"/>
        <w:jc w:val="both"/>
      </w:pPr>
      <w:r>
        <w:rPr>
          <w:rFonts w:ascii="Times New Roman" w:hAnsi="Times New Roman" w:cs="Times New Roman" w:eastAsia="Times New Roman"/>
          <w:b w:val="false"/>
          <w:sz w:val="26"/>
        </w:rPr>
        <w:t>Bước 1: Đối tượng nộp các giấy tờ theo quy định cho cơ quan quân sự xã (phường). Riêng đối tượng đang ở các trung tâm điều dưỡng thương binh thì nộp hồ sơ cho cơ quan quân sự địa phương nơi cư trú.</w:t>
      </w:r>
    </w:p>
    <w:p>
      <w:pPr>
        <w:spacing w:after="0" w:before="0" w:lineRule="auto" w:line="276"/>
        <w:jc w:val="both"/>
      </w:pPr>
      <w:r>
        <w:rPr>
          <w:rFonts w:ascii="Times New Roman" w:hAnsi="Times New Roman" w:cs="Times New Roman" w:eastAsia="Times New Roman"/>
          <w:b w:val="false"/>
          <w:sz w:val="26"/>
        </w:rPr>
        <w:t>Bước 2: Hồ sơ của đối tượng được thẩm định qua cơ quan quân sự các cấp huyện (quận), tỉnh (thành phố), quân khu và gửi về Bảo hiểm xã hội Bộ Quốc phòng.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Bảo hiểm xã hội BQP giải quyết trong thời hạn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của đối tượng;</w:t>
            </w:r>
          </w:p>
        </w:tc>
        <w:tc>
          <w:p/>
          <w:p>
            <w:pPr>
              <w:spacing w:after="0" w:before="0" w:lineRule="auto" w:line="276"/>
              <w:jc w:val="left"/>
            </w:pPr>
            <w:r>
              <w:rPr>
                <w:rFonts w:ascii="Times New Roman" w:hAnsi="Times New Roman" w:cs="Times New Roman" w:eastAsia="Times New Roman"/>
                <w:b w:val="false"/>
                <w:sz w:val="26"/>
              </w:rPr>
              <w:t>Mau 01-ND 159.pdf</w:t>
            </w:r>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cấp giấy chứng nhận thương binh và trợ cấp thương tật hoặc bản trích lục hồ sơ thương tật (bản gốc); Trường hợp quyết định không đầy đủ yếu tố xét hưởng chế độ hưu trí thì kèm theo lý lịch quân nhân hoặc lý lịch cán bộ hoặc lý lịch đảng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hồ sơ khác có liên quan: quyết định thăng quân hàm, nâng lương, đề bạt bổ nhiệm, sổ bảo hiểm xã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quá trình tham gia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thực hiện chế độ hưu trí của Bộ Tư lệnh Quân khu;</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các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giới thiệu trả lương hưu hàng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hưu trí.</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quân sự xã (phường)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BQP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159/2006/NĐ- CP</w:t>
            </w:r>
          </w:p>
        </w:tc>
        <w:tc>
          <w:p/>
          <w:p>
            <w:pPr>
              <w:spacing w:after="0" w:before="0" w:lineRule="auto" w:line="276"/>
              <w:jc w:val="left"/>
            </w:pPr>
            <w:r>
              <w:rPr>
                <w:rFonts w:ascii="Times New Roman" w:hAnsi="Times New Roman" w:cs="Times New Roman" w:eastAsia="Times New Roman"/>
                <w:b w:val="false"/>
                <w:sz w:val="26"/>
              </w:rPr>
              <w:t>Về việc thực hiện chế độ hưu trí đối với quân nhân trực tiếp tham gia kháng chiến chống Mỹ cứu nước từ ngày 30/4/1975 trở về trước có 20 năm trở lên phục vụ quân đội đã phục viên, xuất ngũ</w:t>
            </w:r>
          </w:p>
        </w:tc>
        <w:tc>
          <w:p/>
          <w:p>
            <w:pPr>
              <w:spacing w:after="0" w:before="0" w:lineRule="auto" w:line="276"/>
              <w:jc w:val="left"/>
            </w:pPr>
            <w:r>
              <w:rPr>
                <w:rFonts w:ascii="Times New Roman" w:hAnsi="Times New Roman" w:cs="Times New Roman" w:eastAsia="Times New Roman"/>
                <w:b w:val="false"/>
                <w:sz w:val="26"/>
              </w:rPr>
              <w:t>28-12-2006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69/2007/TTLT/BQP-BLĐTBXH-BTC</w:t>
            </w:r>
          </w:p>
        </w:tc>
        <w:tc>
          <w:p/>
          <w:p>
            <w:pPr>
              <w:spacing w:after="0" w:before="0" w:lineRule="auto" w:line="276"/>
              <w:jc w:val="left"/>
            </w:pPr>
            <w:r>
              <w:rPr>
                <w:rFonts w:ascii="Times New Roman" w:hAnsi="Times New Roman" w:cs="Times New Roman" w:eastAsia="Times New Roman"/>
                <w:b w:val="false"/>
                <w:sz w:val="26"/>
              </w:rPr>
              <w:t>Hướng dẫn thực hiện Nghị định số 159/2006/NĐ-CP ngày 28 tháng 12 năm 2006 của Chính phủ về việc thực hiện chế độ hưu trí đối với quân nhân trực tiếp tham gia kháng chiến chống Mỹ cứu nước từ 30/04/1975 trở về trước có 20 năm trở lên phục vụ quân đội đã phục viên, xuất ngũ</w:t>
            </w:r>
          </w:p>
        </w:tc>
        <w:tc>
          <w:p/>
          <w:p>
            <w:pPr>
              <w:spacing w:after="0" w:before="0" w:lineRule="auto" w:line="276"/>
              <w:jc w:val="left"/>
            </w:pPr>
            <w:r>
              <w:rPr>
                <w:rFonts w:ascii="Times New Roman" w:hAnsi="Times New Roman" w:cs="Times New Roman" w:eastAsia="Times New Roman"/>
                <w:b w:val="false"/>
                <w:sz w:val="26"/>
              </w:rPr>
              <w:t>16-04-2007</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2026-05-23T19:32:01Z</dcterms:created>
  <dc:creator>Apache POI</dc:creator>
</cp:coreProperties>
</file>