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1792 /QĐ-BKHCN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tuyển chọn, giao trực tiếp tổ chức chủ trì dự án thuộc Chương trình phát triển tài sản trí tuệ giai đoạn 2016-2020 (đối với dự án địa phương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Sở Khoa học và Công nghệ thông báo tuyển chọn, giao trực tiếp tổ chức chủ trì dự án địa phương mình quản lý trên Cổng Thông tin điện tử của Bộ Khoa học và Công nghệ, Sở Khoa học và Công nghệ, báo điện tử hoặc báo in của địa phương và tiếp nhận hồ sơ đăng ký tuyển chọn, giao trực tiếp tổ chức chủ trì dự án;</w:t>
      </w:r>
    </w:p>
    <w:p>
      <w:pPr>
        <w:spacing w:after="0" w:before="0" w:lineRule="auto" w:line="276"/>
        <w:jc w:val="both"/>
      </w:pPr>
      <w:r>
        <w:rPr>
          <w:rFonts w:ascii="Times New Roman" w:hAnsi="Times New Roman" w:cs="Times New Roman" w:eastAsia="Times New Roman"/>
          <w:b w:val="false"/>
          <w:sz w:val="26"/>
        </w:rPr>
        <w:t>- Bước 2: Trong thời hạn 05 ngày làm việc kể từ ngày kết thúc thời hạn tiếp nhận hồ sơ, Sở Khoa học và Công nghệ mở công khai, kiểm tra và xác nhận tính hợp lệ của hồ sơ. Đại diện các đơn vị nộp hồ sơ đăng ký chủ trì thực hiện dự án và các đơn vị, cá nhân có liên quan khác được mời tham dự;</w:t>
      </w:r>
    </w:p>
    <w:p>
      <w:pPr>
        <w:spacing w:after="0" w:before="0" w:lineRule="auto" w:line="276"/>
        <w:jc w:val="both"/>
      </w:pPr>
      <w:r>
        <w:rPr>
          <w:rFonts w:ascii="Times New Roman" w:hAnsi="Times New Roman" w:cs="Times New Roman" w:eastAsia="Times New Roman"/>
          <w:b w:val="false"/>
          <w:sz w:val="26"/>
        </w:rPr>
        <w:t>- Bước 3: Trong thời hạn 15 ngày làm việc kể từ ngày lập Biên bản mở hồ sơ, Sở Khoa học và Công nghệ trình Chủ tịch Ủy ban nhân dân cấp tỉnh thành lập, tổ chức họp hội đồng tư vấn tuyển chọn, giao trực tiếp tổ chức chủ trì dự án;</w:t>
      </w:r>
    </w:p>
    <w:p>
      <w:pPr>
        <w:spacing w:after="0" w:before="0" w:lineRule="auto" w:line="276"/>
        <w:jc w:val="both"/>
      </w:pPr>
      <w:r>
        <w:rPr>
          <w:rFonts w:ascii="Times New Roman" w:hAnsi="Times New Roman" w:cs="Times New Roman" w:eastAsia="Times New Roman"/>
          <w:b w:val="false"/>
          <w:sz w:val="26"/>
        </w:rPr>
        <w:t>- Bước 4: Trong thời hạn 07 ngày làm việc kể từ ngày nhận được hồ sơ dự án đã được hoàn thiện theo kết luận của hội đồng, Sở Khoa học và Công nghệ trình Chủ tịch Ủy ban nhân dân cấp tỉnh thành lập, tổ chức họp Tổ thẩm định dự toán kinh phí dự án;</w:t>
      </w:r>
    </w:p>
    <w:p>
      <w:pPr>
        <w:spacing w:after="0" w:before="0" w:lineRule="auto" w:line="276"/>
        <w:jc w:val="both"/>
      </w:pPr>
      <w:r>
        <w:rPr>
          <w:rFonts w:ascii="Times New Roman" w:hAnsi="Times New Roman" w:cs="Times New Roman" w:eastAsia="Times New Roman"/>
          <w:b w:val="false"/>
          <w:sz w:val="26"/>
        </w:rPr>
        <w:t>- Bước 5: Trong thời hạn 05 ngày làm việc kể từ ngày nhận được hồ sơ dự án đã được hoàn thiện theo kết luận của Tổ thẩm định dự toán kinh phí, Sở Khoa học và Công nghệ tổng hợp, trình Chủ tịch Ủy ban nhân dân cấp tỉnh phê duyệt kết quả tuyển chọn, giao trực tiếp tổ chức chủ trì dự án;</w:t>
      </w:r>
    </w:p>
    <w:p>
      <w:pPr>
        <w:spacing w:after="0" w:before="0" w:lineRule="auto" w:line="276"/>
        <w:jc w:val="both"/>
      </w:pPr>
      <w:r>
        <w:rPr>
          <w:rFonts w:ascii="Times New Roman" w:hAnsi="Times New Roman" w:cs="Times New Roman" w:eastAsia="Times New Roman"/>
          <w:b w:val="false"/>
          <w:sz w:val="26"/>
        </w:rPr>
        <w:t>- Bước 6: Trong thời hạn 05 ngày làm việc kể từ ngày Chủ tịch Ủy ban nhân dân cấp tỉnh phê duyệt, Sở Khoa học và Công nghệ công bố công khai kết quả tuyển chọn, giao trực tiếp tổ chức chủ trì dự án đã được phê duyệt.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Trình Chủ tịch Ủy ban nhân dân cấp tỉnh thành lập tổ chức họp hội đồng tư vấn tuyển chọn, giao trực tiếp tổ chức chủ trì thực hiện dự án: Trong thời hạn 15 ngày làm việc kể từ ngày lập Biên bản mở hồ sơ;
- Trình Chủ tịch Ủy ban nhân dân cấp tỉnh thành lập và tổ chức họp Tổ thẩm định dự toán kinh phí dự án: Trong thời hạn 07 ngày làm việc kể từ ngày nhận được hồ sơ đã được hiệu chỉnh;
- Trình Chủ tịch Ủy ban nhân dân cấp tỉnh xem xét, phê duyệt kết quả tuyển chọn, giao trực tiếp tổ chức chủ trì dự án địa phương quản lý: Trong thời hạn 05 ngày làm việc kể từ ngày nhận được hồ sơ đã được hoàn thiện theo kết luận của Tổ thẩm định;
- Công bố kết quả tuyển chọn, giao trực tiếp dự án: Trong thời hạn 05 ngày làm việc kể từ ngày Chủ tịch Ủy ban nhân dân cấp tỉnh phê duyệt.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Trình Chủ tịch Ủy ban nhân dân cấp tỉnh thành lập tổ chức họp hội đồng tư vấn tuyển chọn, giao trực tiếp tổ chức chủ trì thực hiện dự án: Trong thời hạn 15 ngày làm việc kể từ ngày lập Biên bản mở hồ sơ;
- Trình Chủ tịch Ủy ban nhân dân cấp tỉnh thành lập và tổ chức họp Tổ thẩm định dự toán kinh phí dự án: Trong thời hạn 07 ngày làm việc kể từ ngày nhận được hồ sơ đã được hiệu chỉnh;
- Trình Chủ tịch Ủy ban nhân dân cấp tỉnh xem xét, phê duyệt kết quả tuyển chọn, giao trực tiếp tổ chức chủ trì dự án địa phương quản lý: Trong thời hạn 05 ngày làm việc kể từ ngày nhận được hồ sơ đã được hoàn thiện theo kết luận của Tổ thẩm định;
- Công bố kết quả tuyển chọn, giao trực tiếp dự án: Trong thời hạn 05 ngày làm việc kể từ ngày Chủ tịch Ủy ban nhân dân cấp tỉnh phê duyệt.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Thuyết minh dự án;</w:t>
            </w:r>
          </w:p>
        </w:tc>
        <w:tc>
          <w:p/>
          <w:p>
            <w:pPr>
              <w:spacing w:after="0" w:before="0" w:lineRule="auto" w:line="276"/>
              <w:jc w:val="left"/>
            </w:pPr>
            <w:r>
              <w:rPr>
                <w:rFonts w:ascii="Times New Roman" w:hAnsi="Times New Roman" w:cs="Times New Roman" w:eastAsia="Times New Roman"/>
                <w:b w:val="false"/>
                <w:sz w:val="26"/>
              </w:rPr>
              <w:t>Thuyết minh dự án.doc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-Lý lịch khoa học của chủ nhiệm dự án, các thành viên chính và thư ký khoa học thực hiện dự án; lý lịch khoa học của chuyên gia trong nước, chuyên gia nước ngoài;</w:t>
            </w:r>
          </w:p>
        </w:tc>
        <w:tc>
          <w:p/>
          <w:p>
            <w:pPr>
              <w:spacing w:after="0" w:before="0" w:lineRule="auto" w:line="276"/>
              <w:jc w:val="left"/>
            </w:pPr>
            <w:r>
              <w:rPr>
                <w:rFonts w:ascii="Times New Roman" w:hAnsi="Times New Roman" w:cs="Times New Roman" w:eastAsia="Times New Roman"/>
                <w:b w:val="false"/>
                <w:sz w:val="26"/>
              </w:rPr>
              <w:t>Biểu B1-4-LLCN.docx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về sự đồng ý phối hợp thực hiện dự án của các đơn vị phối hợp (nếu có);</w:t>
            </w:r>
          </w:p>
        </w:tc>
        <w:tc>
          <w:p/>
          <w:p>
            <w:pPr>
              <w:spacing w:after="0" w:before="0" w:lineRule="auto" w:line="276"/>
              <w:jc w:val="left"/>
            </w:pPr>
            <w:r>
              <w:rPr>
                <w:rFonts w:ascii="Times New Roman" w:hAnsi="Times New Roman" w:cs="Times New Roman" w:eastAsia="Times New Roman"/>
                <w:b w:val="false"/>
                <w:sz w:val="26"/>
              </w:rPr>
              <w:t>Biểu B1-5-PHNC.docx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đăng ký chủ trì thực hiện dự án;</w:t>
            </w:r>
          </w:p>
        </w:tc>
        <w:tc>
          <w:p/>
          <w:p>
            <w:pPr>
              <w:spacing w:after="0" w:before="0" w:lineRule="auto" w:line="276"/>
              <w:jc w:val="left"/>
            </w:pPr>
            <w:r>
              <w:rPr>
                <w:rFonts w:ascii="Times New Roman" w:hAnsi="Times New Roman" w:cs="Times New Roman" w:eastAsia="Times New Roman"/>
                <w:b w:val="false"/>
                <w:sz w:val="26"/>
              </w:rPr>
              <w:t>Mẫu B5-PĐK.docx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thành lập hoặc Giấy chứng nhận đăng ký kinh doanh của tổ chức đăng ký chủ trì hoặc các giấy tờ tương đương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hoạt động của tổ chức đăng ký tuyển chọn, giao trực tiếp dự án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giá thiết bị, nguyên vật liệu chính cần mua sắm, dịch vụ cần thuê để thực hiện dự án, thời gian báo giá không quá 30 ngày tính đến thời điểm nộp hồ sơ. Báo giá có thể được cập nhật, điều chỉnh hoặc bổ sung trước thời điểm họp thẩm định dự toán kinh phí dự án (nếu cần)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tài chính tối thiểu 02 năm gần nhất của tổ chức đăng ký tuyển chọn, giao trực tiếp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chứng minh phương án huy động kinh phí đối ứng (đối với dự án có yêu cầu phải huy động kinh phí đối ứng) theo quy định tại khoản 10 Điều 5 của Thông tư số 08/2017/TT-BKHCN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-Tóm tắt hoạt động khoa học và công nghệ của tổ chức đăng ký tuyển chọn, giao trực tiếp dự án;</w:t>
            </w:r>
          </w:p>
        </w:tc>
        <w:tc>
          <w:p/>
          <w:p>
            <w:pPr>
              <w:spacing w:after="0" w:before="0" w:lineRule="auto" w:line="276"/>
              <w:jc w:val="left"/>
            </w:pPr>
            <w:r>
              <w:rPr>
                <w:rFonts w:ascii="Times New Roman" w:hAnsi="Times New Roman" w:cs="Times New Roman" w:eastAsia="Times New Roman"/>
                <w:b w:val="false"/>
                <w:sz w:val="26"/>
              </w:rPr>
              <w:t>Biểu B1-3-LLTC.docx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kết quả tuyển chọn, giao trực tiếp tổ chức chủ trì dự án địa phương quản lý của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08/2014/NĐ-CP</w:t>
            </w:r>
          </w:p>
        </w:tc>
        <w:tc>
          <w:p/>
          <w:p>
            <w:pPr>
              <w:spacing w:after="0" w:before="0" w:lineRule="auto" w:line="276"/>
              <w:jc w:val="left"/>
            </w:pPr>
            <w:r>
              <w:rPr>
                <w:rFonts w:ascii="Times New Roman" w:hAnsi="Times New Roman" w:cs="Times New Roman" w:eastAsia="Times New Roman"/>
                <w:b w:val="false"/>
                <w:sz w:val="26"/>
              </w:rPr>
              <w:t>Nghị định quy định chi tiết và hướng dẫn thi hành một số điều của Luật khoa học và công nghệ</w:t>
            </w:r>
          </w:p>
        </w:tc>
        <w:tc>
          <w:p/>
          <w:p>
            <w:pPr>
              <w:spacing w:after="0" w:before="0" w:lineRule="auto" w:line="276"/>
              <w:jc w:val="left"/>
            </w:pPr>
            <w:r>
              <w:rPr>
                <w:rFonts w:ascii="Times New Roman" w:hAnsi="Times New Roman" w:cs="Times New Roman" w:eastAsia="Times New Roman"/>
                <w:b w:val="false"/>
                <w:sz w:val="26"/>
              </w:rPr>
              <w:t>27-01-2014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29/2013/QH13</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08/2017/TT-BKHCN</w:t>
            </w:r>
          </w:p>
        </w:tc>
        <w:tc>
          <w:p/>
          <w:p>
            <w:pPr>
              <w:spacing w:after="0" w:before="0" w:lineRule="auto" w:line="276"/>
              <w:jc w:val="left"/>
            </w:pPr>
            <w:r>
              <w:rPr>
                <w:rFonts w:ascii="Times New Roman" w:hAnsi="Times New Roman" w:cs="Times New Roman" w:eastAsia="Times New Roman"/>
                <w:b w:val="false"/>
                <w:sz w:val="26"/>
              </w:rPr>
              <w:t>Thông tư 08/2017/TT-BKHCN</w:t>
            </w:r>
          </w:p>
        </w:tc>
        <w:tc>
          <w:p/>
          <w:p>
            <w:pPr>
              <w:spacing w:after="0" w:before="0" w:lineRule="auto" w:line="276"/>
              <w:jc w:val="left"/>
            </w:pPr>
            <w:r>
              <w:rPr>
                <w:rFonts w:ascii="Times New Roman" w:hAnsi="Times New Roman" w:cs="Times New Roman" w:eastAsia="Times New Roman"/>
                <w:b w:val="false"/>
                <w:sz w:val="26"/>
              </w:rPr>
              <w:t>26-06-2017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17/2017/TT-BKHCN</w:t>
            </w:r>
          </w:p>
        </w:tc>
        <w:tc>
          <w:p/>
          <w:p>
            <w:pPr>
              <w:spacing w:after="0" w:before="0" w:lineRule="auto" w:line="276"/>
              <w:jc w:val="left"/>
            </w:pPr>
            <w:r>
              <w:rPr>
                <w:rFonts w:ascii="Times New Roman" w:hAnsi="Times New Roman" w:cs="Times New Roman" w:eastAsia="Times New Roman"/>
                <w:b w:val="false"/>
                <w:sz w:val="26"/>
              </w:rPr>
              <w:t>Thông tư 17/2017/TT-BKHCN</w:t>
            </w:r>
          </w:p>
        </w:tc>
        <w:tc>
          <w:p/>
          <w:p>
            <w:pPr>
              <w:spacing w:after="0" w:before="0" w:lineRule="auto" w:line="276"/>
              <w:jc w:val="left"/>
            </w:pPr>
            <w:r>
              <w:rPr>
                <w:rFonts w:ascii="Times New Roman" w:hAnsi="Times New Roman" w:cs="Times New Roman" w:eastAsia="Times New Roman"/>
                <w:b w:val="false"/>
                <w:sz w:val="26"/>
              </w:rPr>
              <w:t>29-12-2017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đối với tổ chức đăng ký tham gia tuyển chọn, giao trực tiếp dự án:
+ Có tư cách pháp nhân, có chức năng hoạt động phù hợp với lĩnh vực chuyên môn của dự án;
+ Có khả năng huy động kinh phí đối ứng thực hiện dự án;
+ Không thuộc một trong các trường hợp quy định tại khoản 2 Điều 4 của Thông tư số 08/2017/TT-BKHCN ngày 26 tháng 6 năm 2017.
- Điều kiện đối với cá nhân đăng ký chủ nhiệm dự án:
+ Có trình độ đại học trở lên, có chuyên môn phù hợp và đã hoạt động trong lĩnh vực của dự án trong 05 năm gần nhất tính đến thời điểm nộp hồ sơ; hoặc là tác giả sáng chế, giải pháp hữu ích, kiểu dáng công nghiệp, tác giả giống cây trồng và tác giả của các đối tượng quyền sở hữu trí tuệ khác quy định tại Điều 3 của Luật Sở hữu trí tuệ đăng ký làm chủ nhiệm dự án liên quan đến các đối tượng quyền sở hữu trí tuệ này;
+ Có khả năng trực tiếp tổ chức thực hiện và bảo đảm đủ thời gian để chủ trì thực hiện công việc của chủ nhiệm dự án;
+ Không thuộc một trong các trường hợp quy định tại khoản 4 Điều 4 của Thông tư số 08/2017/TT-BKHCN.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tuyển chọn, giao trực tiếp tổ chức chủ trì dự án thuộc Chương trình phát triển tài sản trí tuệ giai đoạn 2016-2020 (đối với dự án địa phương quản lý)</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2026-05-26T22:05:31Z</dcterms:created>
  <dc:creator>Apache POI</dc:creator>
</cp:coreProperties>
</file>