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Bằng khen cấp Bộ, ban, ngành, đoàn thể Trung ương, tỉnh, thành phố trực thuộc Trung ương về thành tích đột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Vụ, phòng, Ban Thi đua – Khen thưởng các Bộ, ngành, đoàn thể Trung ương, tỉnh, thành phố trực thuộc Trung ương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Bộ trưởng, thủ trưởng đơn vị, Chủ tịch UBND tỉnh, thành phố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Bộ trưởng, thủ trưởng đơn vị, Chủ tịch UBND tỉnh, thành phố trực thuộc Trung ương; Vụ, phòng, Ban Thi đua – khen thưởng các Bộ, ngành, đoàn thể Trung ương, tỉnh, thành phố trực thuộc Trung ương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Vụ, phòng, Ban Thi đua – khen thưởng các Bộ, ngành, đoàn thể Trung ương, tỉnh, thành phố trực thuộc Trung ương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Thẩm định hồ sơ khen thưởng và trình cấp có thẩm quyền trong thời hạn 25 ngày làm việc từ ngày nhận đủ hồ sơ theo quy định.
Sau khi nhận được thông báo, quyết định khen thưởng của cấp có thẩm quyền khen thưởng, trong thời hạn 10 ngày làm việc, cơ quan trình khen thưởng thông báo và trả kết quả khen thưởng cho các trường hợp được khen thưởng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Thẩm định hồ sơ khen thưởng và trình cấp có thẩm quyền trong thời hạn 25 ngày làm việc từ ngày nhận đủ hồ sơ theo quy định.
Sau khi nhận được thông báo, quyết định khen thưởng của cấp có thẩm quyền khen thưởng, trong thời hạn 10 ngày làm việc, cơ quan trình khen thưởng thông báo và trả kết quả khen thưởng cho các trường hợp được khen thưởng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của tập thể, cá nhân được đề nghị tặng Bằng khen cấp Bộ, ngành, đoàn thể Trung ương, tỉnh, thành phố trực thuộc Trung ương của đơn vị thuộc quản lý của cấp Bộ, ngành, đoàn thể Trung ương, tỉnh, thành phố trực thuộc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tập thể, cá nhân được đề nghị tặng Bằng khen cấp Bộ, ngành, đoàn thể Trung ương, tỉnh, thành phố trực thuộc Trung ương</w:t>
            </w:r>
          </w:p>
        </w:tc>
        <w:tc>
          <w:p/>
          <w:p>
            <w:pPr>
              <w:spacing w:after="0" w:before="0" w:lineRule="auto" w:line="276"/>
              <w:jc w:val="left"/>
            </w:pPr>
            <w:r>
              <w:rPr>
                <w:rFonts w:ascii="Times New Roman" w:hAnsi="Times New Roman" w:cs="Times New Roman" w:eastAsia="Times New Roman"/>
                <w:b w:val="false"/>
                <w:sz w:val="26"/>
              </w:rPr>
              <w:t>Mẫu số 09.docx</w:t>
            </w:r>
          </w:p>
          <w:p>
            <w:pPr>
              <w:spacing w:after="0" w:before="0" w:lineRule="auto" w:line="276"/>
              <w:jc w:val="left"/>
            </w:pPr>
            <w:r>
              <w:rPr>
                <w:rFonts w:ascii="Times New Roman" w:hAnsi="Times New Roman" w:cs="Times New Roman" w:eastAsia="Times New Roman"/>
                <w:b w:val="false"/>
                <w:sz w:val="26"/>
              </w:rPr>
              <w:t>Mẫu số 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khen thưởng của Hội đồng Thi đua – Khen thưởng của cấp trình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ban, ngành, đoàn thể Trung ương,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của định của Bộ trưởng, thủ trưởng đơn vị, Chủ tịch UBND tỉnh, thành phố trực thuộc Trung ương tặng thưởng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tập thể, cá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2026-05-22T04:48:02Z</dcterms:created>
  <dc:creator>Apache POI</dc:creator>
</cp:coreProperties>
</file>