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1.003757.000.00.00.H26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đổi tên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
</w:t>
      </w:r>
    </w:p>
    <w:p>
      <w:pPr>
        <w:spacing w:after="0" w:before="0" w:lineRule="auto" w:line="276"/>
        <w:jc w:val="both"/>
      </w:pPr>
      <w:r>
        <w:rPr>
          <w:rFonts w:ascii="Times New Roman" w:hAnsi="Times New Roman" w:cs="Times New Roman" w:eastAsia="Times New Roman"/>
          <w:b w:val="false"/>
          <w:sz w:val="26"/>
        </w:rPr>
        <w:t xml:space="preserve">- Bước 2: Cán bộ tiếp nhận hồ sơ xem xét hồ sơ và đề nghị bổ sung trong trường hợp hồ sơ chưa đầy đủ và hợp pháp.
 </w:t>
      </w:r>
    </w:p>
    <w:p>
      <w:pPr>
        <w:spacing w:after="0" w:before="0" w:lineRule="auto" w:line="276"/>
        <w:jc w:val="both"/>
      </w:pPr>
      <w:r>
        <w:rPr>
          <w:rFonts w:ascii="Times New Roman" w:hAnsi="Times New Roman" w:cs="Times New Roman" w:eastAsia="Times New Roman"/>
          <w:b w:val="false"/>
          <w:sz w:val="26"/>
        </w:rPr>
        <w:t>- Bước 4: Trong thời hạn 30 ngày kể từ ngày nhận hồ sơ đầy đủ và hợp pháp, Ủy ban nhân dân cấp huyện xem xét, quyết định cho phép đổi tên hội và phê duyệt điều lệ (sửa đổi, bổ sung). Trường hợp không đồng ý phải có văn bản trả lời và nêu rõ lý do.</w:t>
      </w:r>
    </w:p>
    <w:p>
      <w:pPr>
        <w:spacing w:after="0" w:before="0" w:lineRule="auto" w:line="276"/>
        <w:jc w:val="both"/>
      </w:pPr>
      <w:r>
        <w:rPr>
          <w:rFonts w:ascii="Times New Roman" w:hAnsi="Times New Roman" w:cs="Times New Roman" w:eastAsia="Times New Roman"/>
          <w:b w:val="false"/>
          <w:sz w:val="26"/>
        </w:rPr>
        <w:t>- Bước 1: Ban lãnh đạo hội gửi hồ sơ xin đổi tên hội đến Ủy ban nhân dân cấp huyện.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Ủy ban nhân dân cấp huyện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Ủy ban nhân dân cấp huyện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Ủy ban nhân dân cấp huyện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điều lệ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đổi tên;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đại hội của hội về việc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đồng thời có sự thay đổi về ban lãnh đạo hội thì gửi kèm theo biên bản bầu ban lãnh đạo (có danh sách kèm theo), đối với người đứng đầu hội thực hiện theo quy định tại khoản 2 Điều 8 Thông tư số 03/2013/TT-BNV.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đổi tên hội và phê duyệt điều lệ (sửa đổi, bổ sung)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Tên của hội được viết bằng tiếng Việt, có thể được phiên âm, dịch ra tiếng dân tộc thiểu số, tiếng nước ngoài; tên, biểu tượng của hội không được trùng lặp, gây nhầm lẫn với tên của hội khác đã được thành lập hợp pháp; không vi phạm đạo đức xã hội, thuần phong mỹ tục và truyền thống văn hóa dân tộc.
b) Tên mới của hội và điều lệ (sửa đổi, bổ sung) hội có hiệu lực kể từ ngày cơ quan nhà nước có thẩm quyền quyết định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2026-05-07T05:26:58Z</dcterms:created>
  <dc:creator>Apache POI</dc:creator>
</cp:coreProperties>
</file>