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2.001818.000.00.00.H56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cơ sở (theo đề nghị của cá nhân, tổ chức thành lâp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Phòng Giáo dục và Đào tạo (đối với trường trung học cơ sở công lập); tổ chức, cá nhân thành lập trường (đối với trường trung học cơ sở tư thục) xây dựng phương án giải thể trường, trình người có thẩm quyền ra quyết định giải thể trường. Quyết định giải thể trường phải xác định rõ lý do giải thể; các biện pháp bảo đảm quyền, lợi ích hợp pháp của học sinh, giáo viên, cán bộ quản lý và nhân viên và phải được công bố công khai trên các phương tiện thông tin đại chúng;
</w:t>
      </w:r>
    </w:p>
    <w:p>
      <w:pPr>
        <w:spacing w:after="0" w:before="0" w:lineRule="auto" w:line="276"/>
        <w:jc w:val="both"/>
      </w:pPr>
      <w:r>
        <w:rPr>
          <w:rFonts w:ascii="Times New Roman" w:hAnsi="Times New Roman" w:cs="Times New Roman" w:eastAsia="Times New Roman"/>
          <w:b w:val="false"/>
          <w:sz w:val="26"/>
        </w:rPr>
        <w:t>b) Phòng Giáo dục và Đào tạo xem xét đề nghị của tổ chức, cá nhân thành lập trường; báo cáo bằng văn bản đề nghị Chủ tịch Uỷ ban nhân dân cấp huyện ra quyết định giải thể nhà trường;
</w:t>
      </w:r>
    </w:p>
    <w:p>
      <w:pPr>
        <w:spacing w:after="0" w:before="0" w:lineRule="auto" w:line="276"/>
        <w:jc w:val="both"/>
      </w:pPr>
      <w:r>
        <w:rPr>
          <w:rFonts w:ascii="Times New Roman" w:hAnsi="Times New Roman" w:cs="Times New Roman" w:eastAsia="Times New Roman"/>
          <w:b w:val="false"/>
          <w:sz w:val="26"/>
        </w:rPr>
        <w:t>c) Trong vòng 20 ngày làm việc, kể từ ngày nhận đủ hồ sơ hợp lệ, Chủ tịch Uỷ ban nhân dâncấp huyện ra quyết định giải thể trường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cơ sở, trường phổ thông có nhiều cấp học có cấp học cao nhất là trung học cơ sở (theo Mẫu số 10 Phụ lục II kèm theo Nghị định 142/2025/NĐ-CP) được công bố công khai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2026-05-12T21:56:27Z</dcterms:created>
  <dc:creator>Apache POI</dc:creator>
</cp:coreProperties>
</file>