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1.003011.000.00.00.H53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đồ án, đồ án điều chỉnh quy hoạch chi tiết của dự án đầu tư xây dựng công trình theo hình thức kinh doanh thuộc thẩm quyền phê duyệt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 Trường hợp tổ chức không có nhu cầu nộp hồ sơ thông qua dịch vụ bưu chính công ích thì  có thể nộp trực tiếp tại Trung tâm Phục vụ hành chính công tỉnh (số 83, đường Phạm Tung, Phường 3, Thành phố Tây Ninh, tỉnh Tây Ninh) để được tiếp nhận và giải quyết theo quy định.
- Ngoài 02 hình thức trên, tổ chức có thể nộp hồ sơ bằng hình thức trực tuyến tại:
 + Cổng dịch vụ công Quốc gia, địa chỉ: https://dichvucong.gov.vn/
Thời gian tiếp nhận và trả kết quả:Từ thứ 2 đến thứ 6 hàng tuần (Sáng từ 7 giờ đến 11 giờ 30 phút; chiều từ 13 giờ 30 phút đến 17 giờ, trừ ngày nghỉ, lễ theo quy định).</w:t>
      </w:r>
    </w:p>
    <w:p>
      <w:pPr>
        <w:spacing w:after="0" w:before="0" w:lineRule="auto" w:line="276"/>
        <w:jc w:val="both"/>
      </w:pPr>
      <w:r>
        <w:rPr>
          <w:rFonts w:ascii="Times New Roman" w:hAnsi="Times New Roman" w:cs="Times New Roman" w:eastAsia="Times New Roman"/>
          <w:b w:val="false"/>
          <w:sz w:val="26"/>
        </w:rPr>
        <w:t>Bước 1: Trung tâm phục vụ hành chính công tỉnh
- Thực hiện tiếp nhận hồ sơ:
+ Hồ sơ được  cá nhân, tổ chức nộp trực tiếp tại Trung tâm.
- Thực hiện kiểm tra hồ sơ, nếu hồ sơ thiếu đề nghị bổ sung, nếu hồ sơ đầy đủviết phiếu hẹn trao cho người nộp và hồ sơ sẽ được nhân viên bưu điện chuyển cho Ban Quản lý thẩm định, giải quyết.</w:t>
      </w:r>
    </w:p>
    <w:p>
      <w:pPr>
        <w:spacing w:after="0" w:before="0" w:lineRule="auto" w:line="276"/>
        <w:jc w:val="both"/>
      </w:pPr>
      <w:r>
        <w:rPr>
          <w:rFonts w:ascii="Times New Roman" w:hAnsi="Times New Roman" w:cs="Times New Roman" w:eastAsia="Times New Roman"/>
          <w:b w:val="false"/>
          <w:sz w:val="26"/>
        </w:rPr>
        <w:t>Bước 2: Ban Quản lý Khu kinh tế	
- Lãnh đạo phòng QLQHXD phân công Công chức phòng xử lý hồ sơ (bao gồm hồ sơ trên Hệ thống một cửa điện tử).
- Công chức phòng QLQHXD xem xét, kiểm tra hồ sơ:
+ Trường hợp hồ sơ chưa hợp lệ dự thảo thông báo cho tổ chức, cá nhân biết bằng văn bản để hoàn chỉnh hồ sơ theo quy định trình Lãnh đạo phòng QLQHXD ký tắt trình Lãnh đạo Ban xem xét, quyết định; Công chức phòng QLQHXD chuyển hồ sơ kết thúc trên Hệ thống Một cửa điện tử kèm theo văn bản thông báo.
+ Trường hợp hồ sơ đầy đủ, đúng quy định tiếp tục thực hiện quy trình: tham mưu, ký phiếu theo dõi quá trình xử lý công việc và dự thảo kết quả giải quyết thủ tục trình lãnh đạo phòng xem xét.
- Lãnh đạo phòng QLQHXD kiểm tra.
Trường hợp hồ sơ hợp lệ ký vào phiếu theo dõi quá trình xử lý công việc và ký tắt kết quả giải quyết thủ tục hoặc thông báo lý do không giải quyết cho tổ chức, cá nhân biết trình Lãnh đạo Ban xem xét, quyết định.
- Lãnh đạo Ban xem xét: 
+ Nếu đồng ý ký vào phiếu theo dõi quá trình xử lý công việc, ký ban hành kết quả giải quyết thủ tục và chuyển trả kết quả.
+ Không đồng ý, ký vào phiếu theo dõi quá trình xử lý công việc, ký thông báo lý do bằng văn bản và chuyển tra kết quả.
- Đồng thời chuyển hồ sơ trên Hệ thống Một cửa điện tử. 
Văn thư tiếp nhận kết quả, gửi nhân viên bưu điện chuyển đến Trung tâm kết quả giải quyết thủ tục hoặc văn bản thông báo.</w:t>
      </w:r>
    </w:p>
    <w:p>
      <w:pPr>
        <w:spacing w:after="0" w:before="0" w:lineRule="auto" w:line="276"/>
        <w:jc w:val="both"/>
      </w:pPr>
      <w:r>
        <w:rPr>
          <w:rFonts w:ascii="Times New Roman" w:hAnsi="Times New Roman" w:cs="Times New Roman" w:eastAsia="Times New Roman"/>
          <w:b w:val="false"/>
          <w:sz w:val="26"/>
        </w:rPr>
        <w:t>Bước 3: Trung tâm phục vụ hành chính công tỉnh
Tiếp nhận kết quả giải quyết từ nhân viên bưu điện và trả kết quả trực tiếp cho người nộp hồ sơ (trường hợp người nộp hồ sơ muốn nhận kết quả trực tiếp) hoặc Trung tâm chuyển kết quả cho nhân viên bưu điện để trả kết quả thông qua dịch vụ bưu chính công ích cho người nộp hồ sơ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hiện hành)</w:t>
              <w:br/>
              <w:t>File đính kèm: BXD_05_2017-TT-BXD_05042017.signed.pdf</w:t>
            </w:r>
          </w:p>
        </w:tc>
        <w:tc>
          <w:p/>
          <w:p>
            <w:pPr>
              <w:spacing w:after="0" w:before="0" w:lineRule="auto" w:line="276"/>
              <w:jc w:val="left"/>
            </w:pPr>
            <w:r>
              <w:rPr>
                <w:rFonts w:ascii="Times New Roman" w:hAnsi="Times New Roman" w:cs="Times New Roman" w:eastAsia="Times New Roman"/>
                <w:b w:val="false"/>
                <w:sz w:val="26"/>
              </w:rPr>
              <w:t>a) Nộp hồ sơ trực tiếp tại Trung tâm Phục vụ hành chính công tỉnh (số 83, đường Phạm Tung, Phường 3, Thành phố Tây Ninh, tỉnh Tây Ninh) để được tiếp nhận và giải quyết theo quy định.
b) Thời hạn giải quyết: 17 ngày làm việc kể từ ngày nhận hồ sơ hợp lệ.
c) Phí, lệ phí: Chi phí thẩm định đồ án quy hoạch tính theo định mức tỷ lệ % tại Bảng số 11 kèm theo Thông tư số 20/2019/TT-BXD ngày 31/12/2019 của Bộ Xây dựng hướng dẫn xác định, quản lý chi phí quy hoạch xây dựng và quy hoạch đô thị.
* Tổ chức có thể thanh toán lệ phí bằng các hình thức:
- Trường hợp nộp hồ sơ trực tiếp thì nộp tại quầy thu phí của Trung tâm Phục vụ hành chính công.
- Trường hợp nộp hồ sơ trực tuyến thì nộp thông qua chức năng thanh toán trực tuyến trên Cổng dịch vụ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hiện hành)</w:t>
            </w:r>
          </w:p>
        </w:tc>
        <w:tc>
          <w:p/>
          <w:p>
            <w:pPr>
              <w:spacing w:after="0" w:before="0" w:lineRule="auto" w:line="276"/>
              <w:jc w:val="left"/>
            </w:pPr>
            <w:r>
              <w:rPr>
                <w:rFonts w:ascii="Times New Roman" w:hAnsi="Times New Roman" w:cs="Times New Roman" w:eastAsia="Times New Roman"/>
                <w:b w:val="false"/>
                <w:sz w:val="26"/>
              </w:rPr>
              <w:t>a) Tổ chức/ cá nhân có thể nộp hồ sơ bằng hình thức trực tuyến tại:
+ Cổng dịch vụ công Quốc gia, địa chỉ: https://dichvucong.gov.vn/
b) Thời hạn giải quyết: 17 ngày làm việc kể từ ngày nhận hồ sơ hợp lệ.
c) Phí, lệ phí: Chi phí thẩm định đồ án quy hoạch tính theo định mức tỷ lệ % tại Bảng số 11 kèm theo Thông tư số 20/2019/TT-BXD ngày 31/12/2019 của Bộ Xây dựng hướng dẫn xác định, quản lý chi phí quy hoạch xây dựng và quy hoạch đô thị.
* Tổ chức có thể thanh toán lệ phí bằng các hình thức:
- Trường hợp nộp hồ sơ trực tiếp thì nộp tại quầy thu phí của Trung tâm Phục vụ hành chính công.
- Trường hợp nộp hồ sơ trực tuyến thì nộp thông qua chức năng thanh toán trực tuyến trên Cổng dịch vụ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hiện hành)</w:t>
            </w:r>
          </w:p>
        </w:tc>
        <w:tc>
          <w:p/>
          <w:p>
            <w:pPr>
              <w:spacing w:after="0" w:before="0" w:lineRule="auto" w:line="276"/>
              <w:jc w:val="left"/>
            </w:pPr>
            <w:r>
              <w:rPr>
                <w:rFonts w:ascii="Times New Roman" w:hAnsi="Times New Roman" w:cs="Times New Roman" w:eastAsia="Times New Roman"/>
                <w:b w:val="false"/>
                <w:sz w:val="26"/>
              </w:rPr>
              <w:t>a) Tổ chức có nhu cầu thực hiện thủ tục hành chính này thì chuẩn bị hồ sơ nộp tại các điểm bưu chính thuộc hệ thống Bưu điện tỉnh trên địa bàn tỉnh Tây Ninh (Bao gồm: bưu điện tỉnh, huyện, xã) hoặc liên hệ qua số điện thoại 1900561563 để được nhân viên tại các điểm bưu chính thuộc hệ thống Bưu điện tỉnh gần nhất trực tiếp đến tiếp nhận hồ sơ tại nơi mà cá nhân, tổ chức có yêu cầu. Nhân viên tại các điểm bưu chính sau khi tiếp nhận hồ sơ phải vận chuyển hồ sơ và nộp tại Trung tâm phục vụ hành chính công tỉnh.
b) Thời hạn giải quyết: 17 ngày làm việc kể từ ngày nhận hồ sơ hợp lệ.
c) Phí, lệ phí: Chi phí thẩm định đồ án quy hoạch tính theo định mức tỷ lệ % tại Bảng số 11 kèm theo Thông tư số 20/2019/TT-BXD ngày 31/12/2019 của Bộ Xây dựng hướng dẫn xác định, quản lý chi phí quy hoạch xây dựng và quy hoạch đô thị.
* Tổ chức có thể thanh toán lệ phí bằng các hình thức:
- Trường hợp nộp hồ sơ trực tiếp thì nộp tại quầy thu phí của Trung tâm Phục vụ hành chính công.
- Trường hợp nộp hồ sơ trực tuyến thì nộp thông qua chức năng thanh toán trực tuyến trên Cổng dịch vụ công quốc gia hoặc Cổng dịch vụ công của tỉnh và thanh toán vào tài khoản ngân hàng của cơ quan thụ lý hồ sơ của cá nhân, tổ chức. 
(Lưu ý: Ghi rõ Nội dung chuyển khoản “thanh toán lệ phí thực hiện hồ sơ TTHC”, Mã biên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thẩm định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nội dung đồ án bao gồm bản vẽ in màu thu nhỏ;</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định quản lý theo đồ án quy hoạch;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phê duyệt đồ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phụ lục tính toán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bản vẽ in màu đúng tỷ lệ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pháp lý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tỉnh Tây Ninh, Ban Quản lý Khu Kinh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Địa chỉ: Số 83, đường Phạm Tung, Phường 3, Thành phố Tây Ninh, tỉnh Tây Ninh;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thẩm định đồ án, đồ án điều chỉnh quy hoạch chi tiết.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30/2009/QH12</w:t>
            </w:r>
          </w:p>
        </w:tc>
        <w:tc>
          <w:p/>
          <w:p>
            <w:pPr>
              <w:spacing w:after="0" w:before="0" w:lineRule="auto" w:line="276"/>
              <w:jc w:val="left"/>
            </w:pPr>
            <w:r>
              <w:rPr>
                <w:rFonts w:ascii="Times New Roman" w:hAnsi="Times New Roman" w:cs="Times New Roman" w:eastAsia="Times New Roman"/>
                <w:b w:val="false"/>
                <w:sz w:val="26"/>
              </w:rPr>
              <w:t>Luật 30/2009/QH12</w:t>
            </w:r>
          </w:p>
        </w:tc>
        <w:tc>
          <w:p/>
          <w:p>
            <w:pPr>
              <w:spacing w:after="0" w:before="0" w:lineRule="auto" w:line="276"/>
              <w:jc w:val="left"/>
            </w:pPr>
            <w:r>
              <w:rPr>
                <w:rFonts w:ascii="Times New Roman" w:hAnsi="Times New Roman" w:cs="Times New Roman" w:eastAsia="Times New Roman"/>
                <w:b w:val="false"/>
                <w:sz w:val="26"/>
              </w:rPr>
              <w:t>17-06-2009</w:t>
            </w:r>
          </w:p>
        </w:tc>
        <w:tc>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37/2010/NĐ-CP</w:t>
            </w:r>
          </w:p>
        </w:tc>
        <w:tc>
          <w:p/>
          <w:p>
            <w:pPr>
              <w:spacing w:after="0" w:before="0" w:lineRule="auto" w:line="276"/>
              <w:jc w:val="left"/>
            </w:pPr>
            <w:r>
              <w:rPr>
                <w:rFonts w:ascii="Times New Roman" w:hAnsi="Times New Roman" w:cs="Times New Roman" w:eastAsia="Times New Roman"/>
                <w:b w:val="false"/>
                <w:sz w:val="26"/>
              </w:rPr>
              <w:t>Nghị định 37/2010/NĐ-CP</w:t>
            </w:r>
          </w:p>
        </w:tc>
        <w:tc>
          <w:p/>
          <w:p>
            <w:pPr>
              <w:spacing w:after="0" w:before="0" w:lineRule="auto" w:line="276"/>
              <w:jc w:val="left"/>
            </w:pPr>
            <w:r>
              <w:rPr>
                <w:rFonts w:ascii="Times New Roman" w:hAnsi="Times New Roman" w:cs="Times New Roman" w:eastAsia="Times New Roman"/>
                <w:b w:val="false"/>
                <w:sz w:val="26"/>
              </w:rPr>
              <w:t>07-04-2010</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01/2018/TT-VPCP</w:t>
            </w:r>
          </w:p>
        </w:tc>
        <w:tc>
          <w:p/>
          <w:p>
            <w:pPr>
              <w:spacing w:after="0" w:before="0" w:lineRule="auto" w:line="276"/>
              <w:jc w:val="left"/>
            </w:pPr>
            <w:r>
              <w:rPr>
                <w:rFonts w:ascii="Times New Roman" w:hAnsi="Times New Roman" w:cs="Times New Roman" w:eastAsia="Times New Roman"/>
                <w:b w:val="false"/>
                <w:sz w:val="26"/>
              </w:rPr>
              <w:t>Thông tư 01/2018/TT-VPCP</w:t>
            </w:r>
          </w:p>
        </w:tc>
        <w:tc>
          <w:p/>
          <w:p>
            <w:pPr>
              <w:spacing w:after="0" w:before="0" w:lineRule="auto" w:line="276"/>
              <w:jc w:val="left"/>
            </w:pPr>
            <w:r>
              <w:rPr>
                <w:rFonts w:ascii="Times New Roman" w:hAnsi="Times New Roman" w:cs="Times New Roman" w:eastAsia="Times New Roman"/>
                <w:b w:val="false"/>
                <w:sz w:val="26"/>
              </w:rPr>
              <w:t>23-11-2018</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2026-05-12T15:48:14Z</dcterms:created>
  <dc:creator>Apache POI</dc:creator>
</cp:coreProperties>
</file>