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1.000901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2974/QĐ-BCA-C07</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duyệt thiết kế về phòng cháy và chữa cháy đối với phương tiện giao thông cơ giới có yêu cầu đặc biệt về bảo đảm an toàn phòng cháy và chữa cháy (thực hiện tại cấp trung 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cháy, chữa cháy</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 nhân, tổ chức chuẩn bị hồ sơ theo quy định của pháp luật.</w:t>
      </w:r>
    </w:p>
    <w:p>
      <w:pPr>
        <w:spacing w:after="0" w:before="0" w:lineRule="auto" w:line="276"/>
        <w:jc w:val="both"/>
      </w:pPr>
      <w:r>
        <w:rPr>
          <w:rFonts w:ascii="Times New Roman" w:hAnsi="Times New Roman" w:cs="Times New Roman" w:eastAsia="Times New Roman"/>
          <w:b w:val="false"/>
          <w:sz w:val="26"/>
        </w:rPr>
        <w:t>Bước 2: Cá nhân, tổ chức nộp hồ sơ tại Cục Cảnh sát phòng cháy, chữa cháy và cứu nạn, cứu hộ. Trường hợp ủy quyền cho một cá nhân, đơn vị khác thực hiện thì phải có văn bản ủy quyền kèm theo. Cán bộ tiếp nhận kiểm tra tính hợp lệ và thành phần của hồ sơ:
+ Nếu hồ sơ hợp lệ và đủ thành phần thì viết phiếu biên nhận hồ sơ cho người nộp hồ sơ;
+ Nếu hồ sơ không hợp lệ và thiếu thành phần thì trả lại và viết phiếu hướng dẫn người nộp hồ sơ bổ sung hoàn chỉnh.
+ Thời gian tiếp nhận hồ sơ: Từ thứ 2 đến thứ 6 hàng tuần (trừ ngày tết, lễ).
Trường hợp tiếp nhận hồ sơ qua đường bưu điện: Cán bộ tiếp nhận lập phiếu giao nhận hồ sơ kèm theo giấy tờ giao nhận với nhân viên bưu điện.</w:t>
      </w:r>
    </w:p>
    <w:p>
      <w:pPr>
        <w:spacing w:after="0" w:before="0" w:lineRule="auto" w:line="276"/>
        <w:jc w:val="both"/>
      </w:pPr>
      <w:r>
        <w:rPr>
          <w:rFonts w:ascii="Times New Roman" w:hAnsi="Times New Roman" w:cs="Times New Roman" w:eastAsia="Times New Roman"/>
          <w:b w:val="false"/>
          <w:sz w:val="26"/>
        </w:rPr>
        <w:t>Bước 3: Cá nhân, tổ chức nộp phí thẩm duyệt thiết kế về phòng cháy và chữa cháy theo thông báo nộp phí của Cục Cảnh sát phòng cháy, chữa cháy và cứu nạn, cứu hộ.</w:t>
      </w:r>
    </w:p>
    <w:p>
      <w:pPr>
        <w:spacing w:after="0" w:before="0" w:lineRule="auto" w:line="276"/>
        <w:jc w:val="both"/>
      </w:pPr>
      <w:r>
        <w:rPr>
          <w:rFonts w:ascii="Times New Roman" w:hAnsi="Times New Roman" w:cs="Times New Roman" w:eastAsia="Times New Roman"/>
          <w:b w:val="false"/>
          <w:sz w:val="26"/>
        </w:rPr>
        <w:t>Bước 4: Căn cứ theo ngày hẹn trên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(Thông tư số 150/2014/TT-BTC ngày 10/10/2014 của Bộ Tài chính về “Quy định mức thu, chế độ thu, nộp, quản lý và sử dụng phí thẩm duyệt thiết kế về phòng cháy và chữa cháy”)</w:t>
            </w:r>
          </w:p>
        </w:tc>
        <w:tc>
          <w:p/>
          <w:p>
            <w:pPr>
              <w:spacing w:after="0" w:before="0" w:lineRule="auto" w:line="276"/>
              <w:jc w:val="left"/>
            </w:pPr>
            <w:r>
              <w:rPr>
                <w:rFonts w:ascii="Times New Roman" w:hAnsi="Times New Roman" w:cs="Times New Roman" w:eastAsia="Times New Roman"/>
                <w:b w:val="false"/>
                <w:sz w:val="26"/>
              </w:rPr>
              <w:t>Trực tiếp tại Cục Cảnh sát phòng cháy, chữa cháy và cứu nạn, cứu hộ.
Không quá 10 ngày làm việc, kể từ khi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Văn bản đề nghị thẩm duyệt thiết kế về phòng cháy và chữa cháy của chủ đầu tư, chủ phương tiện (nếu ủy quyền cho một đơn vị khác thực hiện thì phải có văn bản ủy quyền kèm theo)</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sao văn bản của cấp có thẩm quyền cho phép đầu tư, chế tạo mới hoặc hoán cải phương tiện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c) Dự toán tổng mức đầu tư phương tiện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Bản vẽ và bản thuyết minh thiết kế kỹ thuật thể hiện giải pháp bảo đảm an toàn về phòng cháy và chữa cháy đối với tính chất hoạt động và đặc điểm nguy hiểm cháy, nổ của phương tiện; điều kiện ngăn cháy, chống cháy lan, thoát nạn, cứu người khi có cháy xảy ra; giải pháp bảo đảm an toàn về phòng cháy và chữa cháy đối với hệ thống điện, hệ thống nhiên liệu và động cơ; hệ thống báo cháy, chữa cháy và phương tiện chữa cháy khác; hệ thống, thiết bị phát hiện và xử lý sự cố rò rỉ các chất khí, chất lỏng nguy hiểm về cháy, nổ.</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cảnh sát phòng cháy, chữa cháy và cứu nạn cứu hộ</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cảnh sát phòng cháy, chữa cháy và cứu nạn cứu hộ</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Cảnh sát phòng cháy, chữa cháy và cứu nạn, cứu hộ</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thẩm duyệt thiết kế về phòng cháy và chữa cháy và đóng dấu “ĐÃ THẨM DUYỆT THIẾT KẾ VỀ PHÒNG CHÁY VÀ CHỮA CHÁY” vào các bản vẽ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27/2001/QH10</w:t>
            </w:r>
          </w:p>
        </w:tc>
        <w:tc>
          <w:p/>
          <w:p>
            <w:pPr>
              <w:spacing w:after="0" w:before="0" w:lineRule="auto" w:line="276"/>
              <w:jc w:val="left"/>
            </w:pPr>
            <w:r>
              <w:rPr>
                <w:rFonts w:ascii="Times New Roman" w:hAnsi="Times New Roman" w:cs="Times New Roman" w:eastAsia="Times New Roman"/>
                <w:b w:val="false"/>
                <w:sz w:val="26"/>
              </w:rPr>
              <w:t>Luật 27/2001/QH10 - Phòng cháy và chữa cháy</w:t>
            </w:r>
          </w:p>
        </w:tc>
        <w:tc>
          <w:p/>
          <w:p>
            <w:pPr>
              <w:spacing w:after="0" w:before="0" w:lineRule="auto" w:line="276"/>
              <w:jc w:val="left"/>
            </w:pPr>
            <w:r>
              <w:rPr>
                <w:rFonts w:ascii="Times New Roman" w:hAnsi="Times New Roman" w:cs="Times New Roman" w:eastAsia="Times New Roman"/>
                <w:b w:val="false"/>
                <w:sz w:val="26"/>
              </w:rPr>
              <w:t>29-06-2001</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40/2013/QH13</w:t>
            </w:r>
          </w:p>
        </w:tc>
        <w:tc>
          <w:p/>
          <w:p>
            <w:pPr>
              <w:spacing w:after="0" w:before="0" w:lineRule="auto" w:line="276"/>
              <w:jc w:val="left"/>
            </w:pPr>
            <w:r>
              <w:rPr>
                <w:rFonts w:ascii="Times New Roman" w:hAnsi="Times New Roman" w:cs="Times New Roman" w:eastAsia="Times New Roman"/>
                <w:b w:val="false"/>
                <w:sz w:val="26"/>
              </w:rPr>
              <w:t>Luật 40/2013/QH13 - Sửa đổi, bổ sung một số điều của Luật Phòng cháy và chữa cháy</w:t>
            </w:r>
          </w:p>
        </w:tc>
        <w:tc>
          <w:p/>
          <w:p>
            <w:pPr>
              <w:spacing w:after="0" w:before="0" w:lineRule="auto" w:line="276"/>
              <w:jc w:val="left"/>
            </w:pPr>
            <w:r>
              <w:rPr>
                <w:rFonts w:ascii="Times New Roman" w:hAnsi="Times New Roman" w:cs="Times New Roman" w:eastAsia="Times New Roman"/>
                <w:b w:val="false"/>
                <w:sz w:val="26"/>
              </w:rPr>
              <w:t>22-11-2013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79/2014/NĐ-CP</w:t>
            </w:r>
          </w:p>
        </w:tc>
        <w:tc>
          <w:p/>
          <w:p>
            <w:pPr>
              <w:spacing w:after="0" w:before="0" w:lineRule="auto" w:line="276"/>
              <w:jc w:val="left"/>
            </w:pPr>
            <w:r>
              <w:rPr>
                <w:rFonts w:ascii="Times New Roman" w:hAnsi="Times New Roman" w:cs="Times New Roman" w:eastAsia="Times New Roman"/>
                <w:b w:val="false"/>
                <w:sz w:val="26"/>
              </w:rPr>
              <w:t>Nghị định 79/2014/NĐ-CP - Quy định chi tiết thi hành một số điều của Luật Phòng cháy và chữa cháy và Luật sửa đổi, bổ sung một số điều của Luật Phòng cháy và chữa cháy</w:t>
            </w:r>
          </w:p>
        </w:tc>
        <w:tc>
          <w:p/>
          <w:p>
            <w:pPr>
              <w:spacing w:after="0" w:before="0" w:lineRule="auto" w:line="276"/>
              <w:jc w:val="left"/>
            </w:pPr>
            <w:r>
              <w:rPr>
                <w:rFonts w:ascii="Times New Roman" w:hAnsi="Times New Roman" w:cs="Times New Roman" w:eastAsia="Times New Roman"/>
                <w:b w:val="false"/>
                <w:sz w:val="26"/>
              </w:rPr>
              <w:t>31-07-2014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150/2014/TT-BTC</w:t>
            </w:r>
          </w:p>
        </w:tc>
        <w:tc>
          <w:p/>
          <w:p>
            <w:pPr>
              <w:spacing w:after="0" w:before="0" w:lineRule="auto" w:line="276"/>
              <w:jc w:val="left"/>
            </w:pPr>
            <w:r>
              <w:rPr>
                <w:rFonts w:ascii="Times New Roman" w:hAnsi="Times New Roman" w:cs="Times New Roman" w:eastAsia="Times New Roman"/>
                <w:b w:val="false"/>
                <w:sz w:val="26"/>
              </w:rPr>
              <w:t>Thông tư 150/2014/TT-BTC - Quy định mức thu, chế độ thu, nộp, quản lý và sử dụng phí thẩm duyệt thiết kế về phòng cháy và chữa cháy</w:t>
            </w:r>
          </w:p>
        </w:tc>
        <w:tc>
          <w:p/>
          <w:p>
            <w:pPr>
              <w:spacing w:after="0" w:before="0" w:lineRule="auto" w:line="276"/>
              <w:jc w:val="left"/>
            </w:pPr>
            <w:r>
              <w:rPr>
                <w:rFonts w:ascii="Times New Roman" w:hAnsi="Times New Roman" w:cs="Times New Roman" w:eastAsia="Times New Roman"/>
                <w:b w:val="false"/>
                <w:sz w:val="26"/>
              </w:rPr>
              <w:t>10-10-2014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66/2014/TT-BCA</w:t>
            </w:r>
          </w:p>
        </w:tc>
        <w:tc>
          <w:p/>
          <w:p>
            <w:pPr>
              <w:spacing w:after="0" w:before="0" w:lineRule="auto" w:line="276"/>
              <w:jc w:val="left"/>
            </w:pPr>
            <w:r>
              <w:rPr>
                <w:rFonts w:ascii="Times New Roman" w:hAnsi="Times New Roman" w:cs="Times New Roman" w:eastAsia="Times New Roman"/>
                <w:b w:val="false"/>
                <w:sz w:val="26"/>
              </w:rPr>
              <w:t>Thông tư 66/2014/TT-BCA - Quy định chi tiết thi hành một số điều của Nghị định số 79/2014/NĐ-CP ngày 31/7/2014 quy định chi tiết thi hành một số điều của Luật Phòng cháy và chữa cháy và Luật sửa đổi, bổ sung một số điều của Luật Phòng cháy và chữa cháy</w:t>
            </w:r>
          </w:p>
        </w:tc>
        <w:tc>
          <w:p/>
          <w:p>
            <w:pPr>
              <w:spacing w:after="0" w:before="0" w:lineRule="auto" w:line="276"/>
              <w:jc w:val="left"/>
            </w:pPr>
            <w:r>
              <w:rPr>
                <w:rFonts w:ascii="Times New Roman" w:hAnsi="Times New Roman" w:cs="Times New Roman" w:eastAsia="Times New Roman"/>
                <w:b w:val="false"/>
                <w:sz w:val="26"/>
              </w:rPr>
              <w:t>16-12-2014</w:t>
            </w:r>
          </w:p>
        </w:tc>
        <w:tc>
          <w:p/>
          <w:p>
            <w:pPr>
              <w:spacing w:after="0" w:before="0" w:lineRule="auto" w:line="276"/>
              <w:jc w:val="left"/>
            </w:pPr>
            <w:r>
              <w:rPr>
                <w:rFonts w:ascii="Times New Roman" w:hAnsi="Times New Roman" w:cs="Times New Roman" w:eastAsia="Times New Roman"/>
                <w:b w:val="false"/>
                <w:sz w:val="26"/>
              </w:rPr>
              <w:t>Bộ Công an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Hồ sơ để thẩm duyệt phòng cháy và chữa cháy gồm 02 bộ phải có xác nhận của Chủ đầu tư, nếu hồ sơ bằng tiếng nước ngoài thì có bản dịch ra tiếng Việt kèm theo.</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Phòng cháy, chữa cháy</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2026-05-23T16:50:56Z</dcterms:created>
  <dc:creator>Apache POI</dc:creator>
</cp:coreProperties>
</file>