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w:t>
      </w:r>
    </w:p>
    <w:p>
      <w:pPr>
        <w:spacing w:after="0" w:before="0" w:lineRule="auto" w:line="276"/>
        <w:jc w:val="both"/>
      </w:pPr>
      <w:r>
        <w:rPr>
          <w:rFonts w:ascii="Times New Roman" w:hAnsi="Times New Roman" w:cs="Times New Roman" w:eastAsia="Times New Roman"/>
          <w:b w:val="false"/>
          <w:sz w:val="26"/>
        </w:rPr>
        <w:t>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09/2024/TT-BKHĐT</w:t>
            </w:r>
          </w:p>
        </w:tc>
        <w:tc>
          <w:p/>
          <w:p>
            <w:pPr>
              <w:spacing w:after="0" w:before="0" w:lineRule="auto" w:line="276"/>
              <w:jc w:val="left"/>
            </w:pPr>
            <w:r>
              <w:rPr>
                <w:rFonts w:ascii="Times New Roman" w:hAnsi="Times New Roman" w:cs="Times New Roman" w:eastAsia="Times New Roman"/>
                <w:b w:val="false"/>
                <w:sz w:val="26"/>
              </w:rPr>
              <w:t>Thông tư số 09/2024/TT-BKHĐT ngày 16/5/2024 của Bộ trưởng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của  hợp tác xã,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2026-05-23T16:34:47Z</dcterms:created>
  <dc:creator>Apache POI</dc:creator>
</cp:coreProperties>
</file>