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1.003634.000.00.00.H56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tàu cá, tàu phục vụ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trực tiếp tại Cơ quan có thẩm quyền hoặc gửi qua dịch vụ bưu chính hoặc qua môi trường mạng (cổng thông tin một cửa quốc gia, dịch vụ công trực tuyến, phần mềm điện tử, email, fax) nếu có. Cụ thể như sau:
- Bộ phận Tiếp nhận và Trả kết quả của Sở Nông nghiệp và Môi trường tại Trung tâm Phục vụ hành chính công tỉnh Thanh Hóa (Số 28 Đại lộ Lê Lợi, phường Hạc Thành, tỉnh Thanh Hóa) (Đối với tàu cá có chiều dài từ 12m trở lên).
-  Trung tâm Phục vụ hành chính công cấp xã thuộc UBND cấp xã, tỉnh Thanh Hóa (Đối với tàu cá có chiều cá có chiều dài từ 6 mét đến dưới 12 mét).
- Địa chỉ tiếp nhận hồ sơ trực tuyến:  http://dichvucong.gov.vn (Dịch vụ công trực tuyến toàn trình)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Cơ quan quản lý nhà nước về thủy sản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hợp lệ theo quy định, Cơ quan quản lý nhà nước về thủy sản cấp đăng ký tàu cá trên địa bàn cấp lại Giấy chứng nhận đăng ký tàu cá. Trường hợp không cấp lại Giấy chứng nhận đăng ký tàu cá cơ quan có thẩm quyền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kể từ khi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(toàn trình): http://dichvucong.gov.vn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lại Giấy chứng nhận đăng ký tàu cá theo Mẫu số 07.ĐKT Phụ lục VIII ban hành kèm theo Thông tư số 02/2026/TT-BNNMT</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tàu cá hoặc Giấy xác nhận đã đăng ký; trường hợp Giấy chứng nhận đăng ký tàu cá bị mất, chủ tàu phải khai báo và nêu rõ lý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Thanh Hóa (Số 28 Đại lộ Lê Lợi, phường Hạc Thành, tỉnh Thanh Hóa) (Đối với tàu cá có chiều dài từ 12m trở lên). -  Trung tâm Phục vụ hành chính công cấp xã thuộc UBND cấp xã, tỉnh Thanh Hóa (Đối với tàu cá có chiều cá có chiều dài từ 6 mét đến dưới 12 mét). - Địa chỉ tiếp nhận hồ sơ trực tuyến:  http://dichvucong.gov.vn (Dịch vụ công trực tuyến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tàu cá, tàu công vụ thủy sản theo Mẫu số 05.ĐKT Phụ lục VIII ban hành kèm theo Thông tư số 02/2026/TT-BNNMT ngày 01/01/2026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01/2022/TT-BNNPTNT</w:t>
            </w:r>
          </w:p>
        </w:tc>
        <w:tc>
          <w:p/>
          <w:p>
            <w:pPr>
              <w:spacing w:after="0" w:before="0" w:lineRule="auto" w:line="276"/>
              <w:jc w:val="left"/>
            </w:pPr>
            <w:r>
              <w:rPr>
                <w:rFonts w:ascii="Times New Roman" w:hAnsi="Times New Roman" w:cs="Times New Roman" w:eastAsia="Times New Roman"/>
                <w:b w:val="false"/>
                <w:sz w:val="26"/>
              </w:rPr>
              <w:t>Thông tư 01/2022/TT-BNNPTNT</w:t>
            </w:r>
          </w:p>
        </w:tc>
        <w:tc>
          <w:p/>
          <w:p>
            <w:pPr>
              <w:spacing w:after="0" w:before="0" w:lineRule="auto" w:line="276"/>
              <w:jc w:val="left"/>
            </w:pPr>
            <w:r>
              <w:rPr>
                <w:rFonts w:ascii="Times New Roman" w:hAnsi="Times New Roman" w:cs="Times New Roman" w:eastAsia="Times New Roman"/>
                <w:b w:val="false"/>
                <w:sz w:val="26"/>
              </w:rPr>
              <w:t>18-01-2022</w:t>
            </w:r>
          </w:p>
        </w:tc>
        <w:tc>
          <w:p/>
        </w:tc>
      </w:tr>
      <w:tr>
        <w:tc>
          <w:p/>
          <w:p>
            <w:pPr>
              <w:spacing w:after="0" w:before="0" w:lineRule="auto" w:line="276"/>
              <w:jc w:val="left"/>
            </w:pPr>
            <w:r>
              <w:rPr>
                <w:rFonts w:ascii="Times New Roman" w:hAnsi="Times New Roman" w:cs="Times New Roman" w:eastAsia="Times New Roman"/>
                <w:b w:val="false"/>
                <w:sz w:val="26"/>
              </w:rPr>
              <w:t>34/2024/QĐ-UBND</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của Quy định tiêu chí đặc thù đối với đóng mới, cải hoán, thuê, mua tàu cá hoạt động trên biển; quy định về đóng mới, cải hoán, thuê, mua tàu cá hoạt động trong nội địa; quy trình xét duyệt hồ sơ đề nghị cấp văn bản chấp thuận đóng mới, cải hoán, thuê, mua tàu cá; phân công, phân cấp quản lý tàu cá trên địa bàn tỉnh Thanh Hóa ban hành kèm theo Quyết định số 35/2019/QĐ-UBND ngày 05/11/2019 của UBND tỉnh Thanh Hóa.</w:t>
            </w:r>
          </w:p>
        </w:tc>
        <w:tc>
          <w:p/>
          <w:p>
            <w:pPr>
              <w:spacing w:after="0" w:before="0" w:lineRule="auto" w:line="276"/>
              <w:jc w:val="left"/>
            </w:pPr>
            <w:r>
              <w:rPr>
                <w:rFonts w:ascii="Times New Roman" w:hAnsi="Times New Roman" w:cs="Times New Roman" w:eastAsia="Times New Roman"/>
                <w:b w:val="false"/>
                <w:sz w:val="26"/>
              </w:rPr>
              <w:t>05-07-2024</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35/2019/QĐ-UBND</w:t>
            </w:r>
          </w:p>
        </w:tc>
        <w:tc>
          <w:p/>
          <w:p>
            <w:pPr>
              <w:spacing w:after="0" w:before="0" w:lineRule="auto" w:line="276"/>
              <w:jc w:val="left"/>
            </w:pPr>
            <w:r>
              <w:rPr>
                <w:rFonts w:ascii="Times New Roman" w:hAnsi="Times New Roman" w:cs="Times New Roman" w:eastAsia="Times New Roman"/>
                <w:b w:val="false"/>
                <w:sz w:val="26"/>
              </w:rPr>
              <w:t>Quyết định ban hành tiêu chí đặc thù đối với đóng mới, cải hoán, thuê, mua tàu cá hoạt động trên biển; quy định về đóng mới, cải hoán, thuê, mua tàu cá hoạt động trong nội địa; quy trình xét duyệt hồ sơ chấp thuận đóng mới, cải hoán, thuê, mua tàu cá; phân công, phân cấp quản lý tàu cá trên địa bàn tỉnh Thanh Hóa</w:t>
            </w:r>
          </w:p>
        </w:tc>
        <w:tc>
          <w:p/>
          <w:p>
            <w:pPr>
              <w:spacing w:after="0" w:before="0" w:lineRule="auto" w:line="276"/>
              <w:jc w:val="left"/>
            </w:pPr>
            <w:r>
              <w:rPr>
                <w:rFonts w:ascii="Times New Roman" w:hAnsi="Times New Roman" w:cs="Times New Roman" w:eastAsia="Times New Roman"/>
                <w:b w:val="false"/>
                <w:sz w:val="26"/>
              </w:rPr>
              <w:t>05-11-2019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86/2025/QĐ-UBND</w:t>
            </w:r>
          </w:p>
        </w:tc>
        <w:tc>
          <w:p/>
          <w:p>
            <w:pPr>
              <w:spacing w:after="0" w:before="0" w:lineRule="auto" w:line="276"/>
              <w:jc w:val="left"/>
            </w:pPr>
            <w:r>
              <w:rPr>
                <w:rFonts w:ascii="Times New Roman" w:hAnsi="Times New Roman" w:cs="Times New Roman" w:eastAsia="Times New Roman"/>
                <w:b w:val="false"/>
                <w:sz w:val="26"/>
              </w:rPr>
              <w:t>Quyết định số 86/2025/QĐ-UBND ngày 09/7/2025 của UBND tỉnh Thanh Hóa về việc sửa đổi, bổ sung một số điều của Quy định tiêu chí đặc thù đối với đóng mới, cải hoán, thuê, mua tàu cá hoạt động trên biển; quy định về đóng mới, cải hoán, thuê, mua tàu cá hoạt động trong nội địa; quy trình xét duyệt hồ sơ đề nghị cấp văn bản chấp thuận đóng mới, cải hoán, thuê, mua tàu cá; phân công, phân cấp quản lý tàu cá trên địa bàn tỉnh Thanh Hóa ban hành kèm theo Quyết định số 35/2019/QĐ-UBND ngày 05/11/2019 của UBND tỉnh Thanh Hóa đã được sửa đổi, bổ sung một số điều theo Quyết định số 34/2024/QĐ-UBND ngày 05/7/2024 của UBND tỉnh.</w:t>
            </w:r>
          </w:p>
        </w:tc>
        <w:tc>
          <w:p/>
          <w:p>
            <w:pPr>
              <w:spacing w:after="0" w:before="0" w:lineRule="auto" w:line="276"/>
              <w:jc w:val="left"/>
            </w:pPr>
            <w:r>
              <w:rPr>
                <w:rFonts w:ascii="Times New Roman" w:hAnsi="Times New Roman" w:cs="Times New Roman" w:eastAsia="Times New Roman"/>
                <w:b w:val="false"/>
                <w:sz w:val="26"/>
              </w:rPr>
              <w:t>09-07-2025</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2026-05-05T07:12:31Z</dcterms:created>
  <dc:creator>Apache POI</dc:creator>
</cp:coreProperties>
</file>