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Giấy khen Khu dân cư văn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xã tổng hợp danh sách khu dân cư văn hóa đủ điều kiện xét tặng Giấy khen.</w:t>
      </w:r>
    </w:p>
    <w:p>
      <w:pPr>
        <w:spacing w:after="0" w:before="0" w:lineRule="auto" w:line="276"/>
        <w:jc w:val="both"/>
      </w:pPr>
      <w:r>
        <w:rPr>
          <w:rFonts w:ascii="Times New Roman" w:hAnsi="Times New Roman" w:cs="Times New Roman" w:eastAsia="Times New Roman"/>
          <w:b w:val="false"/>
          <w:sz w:val="26"/>
        </w:rPr>
        <w:t>- Ủy ban nhân dân cấp xã triệu tập cuộc họp bình xét, thành phần gồm:
+ Chủ tịch Ủy ban nhân dân cấp xã, Chủ tịch Mặt trận Tổ quốc, đại diện các đoàn thể cấp xã và Trưởng ban công tác Mặt trận ở khu dân cư;
+ Đại diện khu dân cư trong danh sách được bình xét.
- Tổ chức cuộc họp bình xét:
+ Cuộc họp được tiến hành khi đạt 60% trở lên số người được triệu tập tham dự;
+ Hình thức bình xét: Bỏ phiếu kín hoặc biểu quyết;
+ Kết quả: Các Khu dân cư được đề nghị tặng Giấy khen khi có từ 60% trở lên thành viên dự họp đồng ý. Trong trường hợp số lượng khu dân cư được đề nghị tặng Giấy khen Khu dân cư văn hóa vượt quá 15% tổng số khu dân cư được công nhận danh hiệu Khu dân cư văn hóa 5 năm liên tục thì căn cứ số phiếu đồng ý, lấy từ cao xuống thấp.
</w:t>
      </w:r>
    </w:p>
    <w:p>
      <w:pPr>
        <w:spacing w:after="0" w:before="0" w:lineRule="auto" w:line="276"/>
        <w:jc w:val="both"/>
      </w:pPr>
      <w:r>
        <w:rPr>
          <w:rFonts w:ascii="Times New Roman" w:hAnsi="Times New Roman" w:cs="Times New Roman" w:eastAsia="Times New Roman"/>
          <w:b w:val="false"/>
          <w:sz w:val="26"/>
        </w:rPr>
        <w:t>- Trong thời hạn 03 ngày làm việc, kể từ ngày có kết quả cuộc họp bình xét, Ủy ban nhân dân cấp xã lập hồ sơ theo quy định trình Ủy ban nhân dân cấp huyện.</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Chủ tịch Ủy ban nhân dân cấp huyện tổ chức họp Hội đồng thi đua - khen thưởng theo quy định hiện hành về thi đua, khen thưởng.</w:t>
      </w:r>
    </w:p>
    <w:p>
      <w:pPr>
        <w:spacing w:after="0" w:before="0" w:lineRule="auto" w:line="276"/>
        <w:jc w:val="both"/>
      </w:pPr>
      <w:r>
        <w:rPr>
          <w:rFonts w:ascii="Times New Roman" w:hAnsi="Times New Roman" w:cs="Times New Roman" w:eastAsia="Times New Roman"/>
          <w:b w:val="false"/>
          <w:sz w:val="26"/>
        </w:rPr>
        <w:t>- Trong thời hạn 03 ngày làm việc, kể từ ngày có kết quả Hội đồng thi đua - khen thưởng, Chủ tịch Ủy ban nhân dân cấp huyện quyết định tặng Giấy khen Khu dân cư văn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được hồ sơ hợp lệ, Chủ tịch Ủy ban nhân dân cấp huyện tổ chức họp Hội đồng thi đua - khen thưởng theo quy định hiện hành về thi đua, khen thưởng.  - Trong thời hạn 03 ngày làm việc, kể từ ngày có kết quả Hội đồng thi đua - khen thưởng, Chủ tịch Ủy ban nhân dân cấp huyện quyết định tặng Giấy khen Khu dân cư văn hóa.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tặng Giấy khen Khu dân cư văn hóa của Ủy ban nhân dân cấp xã (kèm theo Danh sách các khu dân cư đủ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Quyết định tặng danh hiệu Khu dân cư văn hóa trong 05 năm liên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xét tặng Giấy khen Khu dân cư văn hóa(Mẫu số 10,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10.ND122.2018.docx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và bằng chứng nhận “Thôn, tổ dân phố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Khu dân cư được công nhận danh hiệu Khu dân cư văn hóa trong 05 năm liên tục.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2026-05-22T17:49:49Z</dcterms:created>
  <dc:creator>Apache POI</dc:creator>
</cp:coreProperties>
</file>