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đánh giá, nghiệm thu và công nhận kết quả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chủ trì và chủ nhiệm dự án tự đánh giá kết quả thực hiện dự án; chuẩn bị báo cáo kết quả thực hiện dự án và nộp trực tiếp hoặc gửi qua đường bưu điện đến Cục Sở hữu trí tuệ.</w:t>
      </w:r>
    </w:p>
    <w:p>
      <w:pPr>
        <w:spacing w:after="0" w:before="0" w:lineRule="auto" w:line="276"/>
        <w:jc w:val="both"/>
      </w:pPr>
      <w:r>
        <w:rPr>
          <w:rFonts w:ascii="Times New Roman" w:hAnsi="Times New Roman" w:cs="Times New Roman" w:eastAsia="Times New Roman"/>
          <w:b w:val="false"/>
          <w:sz w:val="26"/>
        </w:rPr>
        <w:t>- Bước 2: Cục Sở hữu trí tuệ tiếp nhận hồ sơ và thông báo cho tổ chức chủ trì, chủ nhiệm dự án về tình trạng hợp lệ của hồ sơ.</w:t>
      </w:r>
    </w:p>
    <w:p>
      <w:pPr>
        <w:spacing w:after="0" w:before="0" w:lineRule="auto" w:line="276"/>
        <w:jc w:val="both"/>
      </w:pPr>
      <w:r>
        <w:rPr>
          <w:rFonts w:ascii="Times New Roman" w:hAnsi="Times New Roman" w:cs="Times New Roman" w:eastAsia="Times New Roman"/>
          <w:b w:val="false"/>
          <w:sz w:val="26"/>
        </w:rPr>
        <w:t>- Bước 3: Cục Sở hữu trí tuệ trình Bộ trưởng Bộ Khoa học và Công nghệ thành lập và tổ chức họp hội đồng đánh giá, nghiệm thu kết quả thực hiện dự án;</w:t>
      </w:r>
    </w:p>
    <w:p>
      <w:pPr>
        <w:spacing w:after="0" w:before="0" w:lineRule="auto" w:line="276"/>
        <w:jc w:val="both"/>
      </w:pPr>
      <w:r>
        <w:rPr>
          <w:rFonts w:ascii="Times New Roman" w:hAnsi="Times New Roman" w:cs="Times New Roman" w:eastAsia="Times New Roman"/>
          <w:b w:val="false"/>
          <w:sz w:val="26"/>
        </w:rPr>
        <w:t>- Bước 4: Xử lý kết quả đánh giá, nghiệm thu:
+ Đối với dự án được hội đồng đánh giá, kết luận “nghiệm thu”: Cục Sở hữu trí tuệ gửi bản sao kết quả đánh giá của Hội đồng đến tổ chức chủ trì và chủ nhiệm dự án để tổ chức chủ trì, chủ nhiệm dự án đăng ký lưu giữ kết quả thực hiện với Cục Thông tin khoa học và công nghệ Quốc gia, nộp giấy chứng nhận đăng ký kết quả thực hiện dự án đến Cục Sở hữu trí tuệ để Cục Sở hữu trí tuệ trình Bộ trưởng Bộ Khoa học và Công nghệ xem xét, ban hành quyết định công nhận kết quả thực hiện dự án;
+ Đối với dự án được hội đồng đánh giá, kết luận “không nghiệm thu”: được xử lý theo quy định tại Thông tư liên tịch số 27/2015/TTLT-BKHCN-BTC ngày 30 tháng 12 năm 2015 của Bộ trưởng Bộ Khoa học và Công nghệ và Bộ trưởng Bộ Tài chính quy định khoán chi thực hiện nhiệm vụ khoa học và công nghệ sử dụng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cho tổ chức chủ trì tính hợp lệ của hồ sơ: Trong thời hạn 03 ngày làm việc kể từ ngày nhận hồ sơ.
- Tổ chức chủ trì dự án bổ sung hồ sơ trong trường hợp hồ sơ chưa hợp lệ theo quy định: Trong thời hạn 05 ngày làm việc kể từ ngày nhận được thông báo của Cục Sở hữu trí tuệ.
- Thành lập Hội đồng: Trong thời hạn 15 ngày làm việc kể từ ngày Cục Sở hữu trí tuệ nhận được hồ sơ đánh giá, nghiệm thu kết quả thực hiện dự án hợp lệ;
- Tổ chức họp hội đồng: Trong thời hạn 30 ngày kể từ ngày có quyết định thành lập hội đồng;
- Trình Bộ trưởng Bộ Khoa học và Công nghệ xem xét, ban hành quyết định công nhận kết quả thực hiện dự án: Trong thời hạn 05 ngày làm việc kể từ ngày tiếp nhận đủ các tài liệu công nhận kết quả thực hiện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cho tổ chức chủ trì tính hợp lệ của hồ sơ: Trong thời hạn 03 ngày làm việc kể từ ngày nhận hồ sơ.
- Tổ chức chủ trì dự án bổ sung hồ sơ trong trường hợp hồ sơ chưa hợp lệ theo quy định: Trong thời hạn 05 ngày làm việc kể từ ngày nhận được thông báo của Cục Sở hữu trí tuệ.
- Thành lập Hội đồng: Trong thời hạn 15 ngày làm việc kể từ ngày Cục Sở hữu trí tuệ nhận được hồ sơ đánh giá, nghiệm thu kết quả thực hiện dự án hợp lệ;
- Tổ chức họp hội đồng: Trong thời hạn 30 ngày kể từ ngày có quyết định thành lập hội đồng;
- Trình Bộ trưởng Bộ Khoa học và Công nghệ xem xét, ban hành quyết định công nhận kết quả thực hiện dự án: Trong thời hạn 05 ngày làm việc kể từ ngày tiếp nhận đủ các tài liệu công nhận kết quả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đánh giá, nghiệm thu kết quả thực hiện dự án của tổ chức chủ trì dự án</w:t>
            </w:r>
          </w:p>
        </w:tc>
        <w:tc>
          <w:p/>
          <w:p>
            <w:pPr>
              <w:spacing w:after="0" w:before="0" w:lineRule="auto" w:line="276"/>
              <w:jc w:val="left"/>
            </w:pPr>
            <w:r>
              <w:rPr>
                <w:rFonts w:ascii="Times New Roman" w:hAnsi="Times New Roman" w:cs="Times New Roman" w:eastAsia="Times New Roman"/>
                <w:b w:val="false"/>
                <w:sz w:val="26"/>
              </w:rPr>
              <w:t>Mẫu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và báo cáo tóm tắt kết quả thực hiện dự án</w:t>
            </w:r>
          </w:p>
        </w:tc>
        <w:tc>
          <w:p/>
          <w:p>
            <w:pPr>
              <w:spacing w:after="0" w:before="0" w:lineRule="auto" w:line="276"/>
              <w:jc w:val="left"/>
            </w:pPr>
            <w:r>
              <w:rPr>
                <w:rFonts w:ascii="Times New Roman" w:hAnsi="Times New Roman" w:cs="Times New Roman" w:eastAsia="Times New Roman"/>
                <w:b w:val="false"/>
                <w:sz w:val="26"/>
              </w:rPr>
              <w:t>Mẫu B15-BCTH.docx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sản phẩm, kết quả của dự án theo hợp đồng thực hiện dự án và thuyết minh dự án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kinh phí của dự án</w:t>
            </w:r>
          </w:p>
        </w:tc>
        <w:tc>
          <w:p/>
          <w:p>
            <w:pPr>
              <w:spacing w:after="0" w:before="0" w:lineRule="auto" w:line="276"/>
              <w:jc w:val="left"/>
            </w:pPr>
            <w:r>
              <w:rPr>
                <w:rFonts w:ascii="Times New Roman" w:hAnsi="Times New Roman" w:cs="Times New Roman" w:eastAsia="Times New Roman"/>
                <w:b w:val="false"/>
                <w:sz w:val="26"/>
              </w:rPr>
              <w:t>Mẫu B13-BCKPDA.docx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kết quả thực hiện dự án</w:t>
            </w:r>
          </w:p>
        </w:tc>
        <w:tc>
          <w:p/>
          <w:p>
            <w:pPr>
              <w:spacing w:after="0" w:before="0" w:lineRule="auto" w:line="276"/>
              <w:jc w:val="left"/>
            </w:pPr>
            <w:r>
              <w:rPr>
                <w:rFonts w:ascii="Times New Roman" w:hAnsi="Times New Roman" w:cs="Times New Roman" w:eastAsia="Times New Roman"/>
                <w:b w:val="false"/>
                <w:sz w:val="26"/>
              </w:rPr>
              <w:t>Mẫu B14-BCTĐG.docx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kết quả thực hiện dự án Trung ương quản lý của Bộ trưởng Bộ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11/2014/TT-BKHCN</w:t>
            </w:r>
          </w:p>
        </w:tc>
        <w:tc>
          <w:p/>
          <w:p>
            <w:pPr>
              <w:spacing w:after="0" w:before="0" w:lineRule="auto" w:line="276"/>
              <w:jc w:val="left"/>
            </w:pPr>
            <w:r>
              <w:rPr>
                <w:rFonts w:ascii="Times New Roman" w:hAnsi="Times New Roman" w:cs="Times New Roman" w:eastAsia="Times New Roman"/>
                <w:b w:val="false"/>
                <w:sz w:val="26"/>
              </w:rPr>
              <w:t>Thông tư số 11/2014/TT-BKHCN ngày 30/5/2014 của Bộ trưởng Bộ Khoa học và Công nghệ quy định việc đánh giá, nghiệm thu kết quả thực hiện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27/2015/TTLT-BKHCN-BTC</w:t>
            </w:r>
          </w:p>
        </w:tc>
        <w:tc>
          <w:p/>
          <w:p>
            <w:pPr>
              <w:spacing w:after="0" w:before="0" w:lineRule="auto" w:line="276"/>
              <w:jc w:val="left"/>
            </w:pPr>
            <w:r>
              <w:rPr>
                <w:rFonts w:ascii="Times New Roman" w:hAnsi="Times New Roman" w:cs="Times New Roman" w:eastAsia="Times New Roman"/>
                <w:b w:val="false"/>
                <w:sz w:val="26"/>
              </w:rPr>
              <w:t>Thông tư liên tịch số 27/2015/TTLT-BKHCN-BTC ngày 30/12/2015 của Bộ trưởng Bộ Khoa học và Công nghệ và Bộ trưởng Bộ Tài chính quy định khoán chi thực hiện nhiệm vụ khoa học và công nghệ sử dụng ngân sách nhà nước</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đánh giá, nghiệm thu và công nhận kết quả thực hiện dự án thuộc Chương trình phát triển tài sản trí tuệ giai đoạn 2016-2020 (đối với dự án trung ương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2026-05-27T00:45:12Z</dcterms:created>
  <dc:creator>Apache POI</dc:creator>
</cp:coreProperties>
</file>