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838/QĐ-BTP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Phiếu lý lịch tư pháp cho công dân Việt Nam mà không xác định được nơi thường trú hoặc nơi tạm trú; người nước ngoài đã cư trú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Lý lịch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cấp Phiếu lý lịch tư pháp nộp hồ sơ yêu cầu cấp Phiếu lý lịch tư pháp tại Trung tâm Lý lịch tư pháp quốc gia bằng hình thức trực tiếp, gửi qua dịch vụ bưu chính hoặc trực tuyến.</w:t>
      </w:r>
    </w:p>
    <w:p>
      <w:pPr>
        <w:spacing w:after="0" w:before="0" w:lineRule="auto" w:line="276"/>
        <w:jc w:val="both"/>
      </w:pPr>
      <w:r>
        <w:rPr>
          <w:rFonts w:ascii="Times New Roman" w:hAnsi="Times New Roman" w:cs="Times New Roman" w:eastAsia="Times New Roman"/>
          <w:b w:val="false"/>
          <w:sz w:val="26"/>
        </w:rPr>
        <w:t>Người có yêu cầu cấp Phiếu lý lịch tư pháp đăng ký nhận kết quả tại nơi nộp hồ sơ hoặc nhận kết quả qua dịch vụ bưu chính hoặc nhận kết quả bản điện tử qua Hệ thống thông tin giải quyết thủ tục hành chính Bộ Tư pháp (đối với trường hợp người dân nộp hồ sơ yêu cầu cấp Phiếu qua Cổng dịch vụ công quốc gia hoặc Hệ thống thông tin giải quyết thủ tục hành chính Bộ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200.000 Đồng</w:t>
              <w:t xml:space="preserve"> (Phí cung cấp thông tin lý lịch tư pháp 200.000 đồng/lần/người.)</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200.000 Đồng</w:t>
              <w:t xml:space="preserve"> (Phí cung cấp thông tin lý lịch tư pháp 200.000 đồng/lần/người.)</w:t>
            </w:r>
          </w:p>
        </w:tc>
        <w:tc>
          <w:p/>
          <w:p>
            <w:pPr>
              <w:spacing w:after="0" w:before="0" w:lineRule="auto" w:line="276"/>
              <w:jc w:val="left"/>
            </w:pPr>
            <w:r>
              <w:rPr>
                <w:rFonts w:ascii="Times New Roman" w:hAnsi="Times New Roman" w:cs="Times New Roman" w:eastAsia="Times New Roman"/>
                <w:b w:val="false"/>
                <w:sz w:val="26"/>
              </w:rPr>
              <w:t>Trường hợp người được cấp Phiếu lý lịch tư pháp là công dân Việt Nam đã cư trú ở nhiều nơi hoặc có thời gian cư trú ở nước ngoài, trường hợp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200.000 Đồng</w:t>
              <w:t xml:space="preserve"> (Phí cung cấp thông tin lý lịch tư pháp 200.000 đồng/lần/người.)</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200.000 Đồng</w:t>
              <w:t xml:space="preserve"> (Phí cung cấp thông tin lý lịch tư pháp 200.000 đồng/lần/người.)</w:t>
            </w:r>
          </w:p>
        </w:tc>
        <w:tc>
          <w:p/>
          <w:p>
            <w:pPr>
              <w:spacing w:after="0" w:before="0" w:lineRule="auto" w:line="276"/>
              <w:jc w:val="left"/>
            </w:pPr>
            <w:r>
              <w:rPr>
                <w:rFonts w:ascii="Times New Roman" w:hAnsi="Times New Roman" w:cs="Times New Roman" w:eastAsia="Times New Roman"/>
                <w:b w:val="false"/>
                <w:sz w:val="26"/>
              </w:rPr>
              <w:t>Trường hợp người được cấp Phiếu lý lịch tư pháp là công dân Việt Nam đã cư trú ở nhiều nơi hoặc có thời gian cư trú ở nước ngoài, trường hợp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200.000 Đồng</w:t>
              <w:t xml:space="preserve"> (Phí cung cấp thông tin lý lịch tư pháp 200.000 đồng/lần/người.)</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 Đồng</w:t>
              <w:t xml:space="preserve"> (Phí cung cấp thông tin lý lịch tư pháp 200.000 đồng/lần/người.)</w:t>
            </w:r>
          </w:p>
        </w:tc>
        <w:tc>
          <w:p/>
          <w:p>
            <w:pPr>
              <w:spacing w:after="0" w:before="0" w:lineRule="auto" w:line="276"/>
              <w:jc w:val="left"/>
            </w:pPr>
            <w:r>
              <w:rPr>
                <w:rFonts w:ascii="Times New Roman" w:hAnsi="Times New Roman" w:cs="Times New Roman" w:eastAsia="Times New Roman"/>
                <w:b w:val="false"/>
                <w:sz w:val="26"/>
              </w:rPr>
              <w:t>Trường hợp người được cấp Phiếu lý lịch tư pháp là công dân Việt Nam đã cư trú ở nhiều nơi hoặc có thời gian cư trú ở nước ngoài, trường hợp người nước ngoài, trường hợp phải xác minh về điều kiện đương nhiên được xóa án tích thì thời hạn không quá 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theo mẫu quy định tại Thông tư 06/2024/TT-BTP (Mẫu số 03/2024/LLTP; Mẫu số 04/2024/LLTP; Mẫu số 12/2024/LLTP; Mẫu số 13/2024/LLTP)</w:t>
            </w:r>
          </w:p>
        </w:tc>
        <w:tc>
          <w:p/>
          <w:p>
            <w:pPr>
              <w:spacing w:after="0" w:before="0" w:lineRule="auto" w:line="276"/>
              <w:jc w:val="left"/>
            </w:pPr>
            <w:r>
              <w:rPr>
                <w:rFonts w:ascii="Times New Roman" w:hAnsi="Times New Roman" w:cs="Times New Roman" w:eastAsia="Times New Roman"/>
                <w:b w:val="false"/>
                <w:sz w:val="26"/>
              </w:rPr>
              <w:t>Mẫu số 03.2014.LLTP.docx</w:t>
            </w:r>
          </w:p>
          <w:p>
            <w:pPr>
              <w:spacing w:after="0" w:before="0" w:lineRule="auto" w:line="276"/>
              <w:jc w:val="left"/>
            </w:pPr>
            <w:r>
              <w:rPr>
                <w:rFonts w:ascii="Times New Roman" w:hAnsi="Times New Roman" w:cs="Times New Roman" w:eastAsia="Times New Roman"/>
                <w:b w:val="false"/>
                <w:sz w:val="26"/>
              </w:rPr>
              <w:t>Mẫu số 04.2024.LLTP.docx</w:t>
            </w:r>
          </w:p>
          <w:p>
            <w:pPr>
              <w:spacing w:after="0" w:before="0" w:lineRule="auto" w:line="276"/>
              <w:jc w:val="left"/>
            </w:pPr>
            <w:r>
              <w:rPr>
                <w:rFonts w:ascii="Times New Roman" w:hAnsi="Times New Roman" w:cs="Times New Roman" w:eastAsia="Times New Roman"/>
                <w:b w:val="false"/>
                <w:sz w:val="26"/>
              </w:rPr>
              <w:t>Mẫu số 12.2024.LLTP.docx</w:t>
            </w:r>
          </w:p>
          <w:p>
            <w:pPr>
              <w:spacing w:after="0" w:before="0" w:lineRule="auto" w:line="276"/>
              <w:jc w:val="left"/>
            </w:pPr>
            <w:r>
              <w:rPr>
                <w:rFonts w:ascii="Times New Roman" w:hAnsi="Times New Roman" w:cs="Times New Roman" w:eastAsia="Times New Roman"/>
                <w:b w:val="false"/>
                <w:sz w:val="26"/>
              </w:rPr>
              <w:t>Mẫu số 13.2024.LLTP.docx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minh nhân dân hoặc Thẻ Căn cước hoặc Thẻ Căn cước công dân hoặc hộ chiếu của công dân Việt Nam mà không xác định được nơi thường trú hoặc nơi tạm trú/ bản sao Hộ chiếu của người nước ngoài đã cư trú tại Việt Nam (Trường hợp nộp bản chụp thì phải xuất trình bản chính để đối chiếu. Trường hợp không có bản chính để đối chiếu thì nộp bản sao có chứng thực theo quy định của pháp luật). Đối với người nước ngoài đã cư trú tại Việt Nam, hộ chiếu phải được đơn vị kiểm soát xuất nhập cảnh của Việt Nam đóng dấu. Trường hợp người có yêu cầu cấp Phiếu lý lịch tư pháp nộp hồ sơ bằng hình thức trực tuyến trên Cổng dịch vụ công quốc gia hoặc Hệ thống thông tin giải quyết thủ tục hành chính Bộ Tư pháp thì không cần đính kèm bản sao Chứng minh nhân dân hoặc Thẻ Căn cước hoặc Thẻ Căn cước công dân hoặc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ủy quyền trong trường hợp ủy quyền cho người khác làm thủ tục yêu cầu cấp Phiếu lý lịch tư pháp số 1  (trường hợp người được ủy quyền là cha, mẹ, vợ, chồng, con của người ủy quyền thì không cần văn bản ủy quyền). Văn bản ủy quyền phải được công chứng, chứng thực theo quy định của pháp luật Việt Nam hoặc pháp luật của nước nơi người đó là công dân hoặc thường trú. Trường hợp ủy quyền theo quy định của pháp luật của nước mà người đó là công dân hoặc thường trú thì văn bản ủy quyền phải được hợp pháp hóa lãnh sự theo quy định của pháp luật Việt Nam và dịch ra tiếng Việt. Cá nhân yêu cầu cấp Phiếu lý lịch tư pháp số 2 không được ủy quyền cho người khác làm thủ tục yêu cầu cấp Phiếu lý lịch tư pháp. Người được ủy quyền phải xuất trình Chứng minh nhân dân hoặc Thẻ Căn cước hoặc Thẻ Căn cước công dân hoặc Hộ chiếu khi thực hiện thủ tục yêu cầu cấp 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Trường hợp người có yêu cầu cấp Phiếu lý lịch tư pháp nộp hồ sơ trực tuyến trên Cổng dịch vụ công quốc gia hoặc Hệ thống thông tin giải quyết thủ tục hành chính Bộ Tư pháp thì sử dụng Tờ khai yêu cầu cấp Phiếu lý lịch tư pháp điện tử tương tác theo Mẫu số 12/2024/LLTP; Mẫu số 13/2024/LLTP.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Lý lịch tư pháp quốc gia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9 Trần Vĩ, Mai Dịch,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Cơ quan công an, Cơ quan khác, Cơ quan có thẩm quyền thuộc Bộ Quốc phòng, Tòa án nhân dân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lý lịch tư pháp số 1, Phiếu lý lịch tư pháp số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28/2009/QH12</w:t>
            </w:r>
          </w:p>
        </w:tc>
        <w:tc>
          <w:p/>
          <w:p>
            <w:pPr>
              <w:spacing w:after="0" w:before="0" w:lineRule="auto" w:line="276"/>
              <w:jc w:val="left"/>
            </w:pPr>
            <w:r>
              <w:rPr>
                <w:rFonts w:ascii="Times New Roman" w:hAnsi="Times New Roman" w:cs="Times New Roman" w:eastAsia="Times New Roman"/>
                <w:b w:val="false"/>
                <w:sz w:val="26"/>
              </w:rPr>
              <w:t>Luật 28/2009/QH12</w:t>
            </w:r>
          </w:p>
        </w:tc>
        <w:tc>
          <w:p/>
          <w:p>
            <w:pPr>
              <w:spacing w:after="0" w:before="0" w:lineRule="auto" w:line="276"/>
              <w:jc w:val="left"/>
            </w:pPr>
            <w:r>
              <w:rPr>
                <w:rFonts w:ascii="Times New Roman" w:hAnsi="Times New Roman" w:cs="Times New Roman" w:eastAsia="Times New Roman"/>
                <w:b w:val="false"/>
                <w:sz w:val="26"/>
              </w:rPr>
              <w:t>17-06-2009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111/2010/NĐ-CP</w:t>
            </w:r>
          </w:p>
        </w:tc>
        <w:tc>
          <w:p/>
          <w:p>
            <w:pPr>
              <w:spacing w:after="0" w:before="0" w:lineRule="auto" w:line="276"/>
              <w:jc w:val="left"/>
            </w:pPr>
            <w:r>
              <w:rPr>
                <w:rFonts w:ascii="Times New Roman" w:hAnsi="Times New Roman" w:cs="Times New Roman" w:eastAsia="Times New Roman"/>
                <w:b w:val="false"/>
                <w:sz w:val="26"/>
              </w:rPr>
              <w:t>Nghị định 111/2010/NĐ-CP</w:t>
            </w:r>
          </w:p>
        </w:tc>
        <w:tc>
          <w:p/>
          <w:p>
            <w:pPr>
              <w:spacing w:after="0" w:before="0" w:lineRule="auto" w:line="276"/>
              <w:jc w:val="left"/>
            </w:pPr>
            <w:r>
              <w:rPr>
                <w:rFonts w:ascii="Times New Roman" w:hAnsi="Times New Roman" w:cs="Times New Roman" w:eastAsia="Times New Roman"/>
                <w:b w:val="false"/>
                <w:sz w:val="26"/>
              </w:rPr>
              <w:t>23-11-2010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13/2011/TT-BTP</w:t>
            </w:r>
          </w:p>
        </w:tc>
        <w:tc>
          <w:p/>
          <w:p>
            <w:pPr>
              <w:spacing w:after="0" w:before="0" w:lineRule="auto" w:line="276"/>
              <w:jc w:val="left"/>
            </w:pPr>
            <w:r>
              <w:rPr>
                <w:rFonts w:ascii="Times New Roman" w:hAnsi="Times New Roman" w:cs="Times New Roman" w:eastAsia="Times New Roman"/>
                <w:b w:val="false"/>
                <w:sz w:val="26"/>
              </w:rPr>
              <w:t>Thông tư 13/2011/TT-BTP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04/2012/TTLT-BTP-TANDTC-VKSNDTC-BCA-BQP</w:t>
            </w:r>
          </w:p>
        </w:tc>
        <w:tc>
          <w:p/>
          <w:p>
            <w:pPr>
              <w:spacing w:after="0" w:before="0" w:lineRule="auto" w:line="276"/>
              <w:jc w:val="left"/>
            </w:pPr>
            <w:r>
              <w:rPr>
                <w:rFonts w:ascii="Times New Roman" w:hAnsi="Times New Roman" w:cs="Times New Roman" w:eastAsia="Times New Roman"/>
                <w:b w:val="false"/>
                <w:sz w:val="26"/>
              </w:rPr>
              <w:t>Thông tư liên tịch số 04/2012/TTLT-BTP-TANDTC-VKSNDTC-BCA-BQP</w:t>
            </w:r>
          </w:p>
        </w:tc>
        <w:tc>
          <w:p/>
          <w:p>
            <w:pPr>
              <w:spacing w:after="0" w:before="0" w:lineRule="auto" w:line="276"/>
              <w:jc w:val="left"/>
            </w:pPr>
            <w:r>
              <w:rPr>
                <w:rFonts w:ascii="Times New Roman" w:hAnsi="Times New Roman" w:cs="Times New Roman" w:eastAsia="Times New Roman"/>
                <w:b w:val="false"/>
                <w:sz w:val="26"/>
              </w:rPr>
              <w:t>10-05-2012</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16/2013/TT-BTP</w:t>
            </w:r>
          </w:p>
        </w:tc>
        <w:tc>
          <w:p/>
          <w:p>
            <w:pPr>
              <w:spacing w:after="0" w:before="0" w:lineRule="auto" w:line="276"/>
              <w:jc w:val="left"/>
            </w:pPr>
            <w:r>
              <w:rPr>
                <w:rFonts w:ascii="Times New Roman" w:hAnsi="Times New Roman" w:cs="Times New Roman" w:eastAsia="Times New Roman"/>
                <w:b w:val="false"/>
                <w:sz w:val="26"/>
              </w:rPr>
              <w:t>Thông tư 16/2013/TT-BTP</w:t>
            </w:r>
          </w:p>
        </w:tc>
        <w:tc>
          <w:p/>
          <w:p>
            <w:pPr>
              <w:spacing w:after="0" w:before="0" w:lineRule="auto" w:line="276"/>
              <w:jc w:val="left"/>
            </w:pPr>
            <w:r>
              <w:rPr>
                <w:rFonts w:ascii="Times New Roman" w:hAnsi="Times New Roman" w:cs="Times New Roman" w:eastAsia="Times New Roman"/>
                <w:b w:val="false"/>
                <w:sz w:val="26"/>
              </w:rPr>
              <w:t>11-11-2013</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59/2014/QH13</w:t>
            </w:r>
          </w:p>
        </w:tc>
        <w:tc>
          <w:p/>
          <w:p>
            <w:pPr>
              <w:spacing w:after="0" w:before="0" w:lineRule="auto" w:line="276"/>
              <w:jc w:val="left"/>
            </w:pPr>
            <w:r>
              <w:rPr>
                <w:rFonts w:ascii="Times New Roman" w:hAnsi="Times New Roman" w:cs="Times New Roman" w:eastAsia="Times New Roman"/>
                <w:b w:val="false"/>
                <w:sz w:val="26"/>
              </w:rPr>
              <w:t>Luật 59/2014/QH13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244/2016/TT-BTC</w:t>
            </w:r>
          </w:p>
        </w:tc>
        <w:tc>
          <w:p/>
          <w:p>
            <w:pPr>
              <w:spacing w:after="0" w:before="0" w:lineRule="auto" w:line="276"/>
              <w:jc w:val="left"/>
            </w:pPr>
            <w:r>
              <w:rPr>
                <w:rFonts w:ascii="Times New Roman" w:hAnsi="Times New Roman" w:cs="Times New Roman" w:eastAsia="Times New Roman"/>
                <w:b w:val="false"/>
                <w:sz w:val="26"/>
              </w:rPr>
              <w:t>Thông tư 244/2016/TT-BTC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45/2016/QĐ-TTg</w:t>
            </w:r>
          </w:p>
        </w:tc>
        <w:tc>
          <w:p/>
          <w:p>
            <w:pPr>
              <w:spacing w:after="0" w:before="0" w:lineRule="auto" w:line="276"/>
              <w:jc w:val="left"/>
            </w:pPr>
            <w:r>
              <w:rPr>
                <w:rFonts w:ascii="Times New Roman" w:hAnsi="Times New Roman" w:cs="Times New Roman" w:eastAsia="Times New Roman"/>
                <w:b w:val="false"/>
                <w:sz w:val="26"/>
              </w:rPr>
              <w:t>Quyết định 45/2016/QĐ-TTg</w:t>
            </w:r>
          </w:p>
        </w:tc>
        <w:tc>
          <w:p/>
          <w:p>
            <w:pPr>
              <w:spacing w:after="0" w:before="0" w:lineRule="auto" w:line="276"/>
              <w:jc w:val="left"/>
            </w:pPr>
            <w:r>
              <w:rPr>
                <w:rFonts w:ascii="Times New Roman" w:hAnsi="Times New Roman" w:cs="Times New Roman" w:eastAsia="Times New Roman"/>
                <w:b w:val="false"/>
                <w:sz w:val="26"/>
              </w:rPr>
              <w:t>19-10-2016</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61/2018/NĐ-CP</w:t>
            </w:r>
          </w:p>
        </w:tc>
        <w:tc>
          <w:p/>
          <w:p>
            <w:pPr>
              <w:spacing w:after="0" w:before="0" w:lineRule="auto" w:line="276"/>
              <w:jc w:val="left"/>
            </w:pPr>
            <w:r>
              <w:rPr>
                <w:rFonts w:ascii="Times New Roman" w:hAnsi="Times New Roman" w:cs="Times New Roman" w:eastAsia="Times New Roman"/>
                <w:b w:val="false"/>
                <w:sz w:val="26"/>
              </w:rPr>
              <w:t>Nghị định 61/2018/NĐ-CP</w:t>
            </w:r>
          </w:p>
        </w:tc>
        <w:tc>
          <w:p/>
          <w:p>
            <w:pPr>
              <w:spacing w:after="0" w:before="0" w:lineRule="auto" w:line="276"/>
              <w:jc w:val="left"/>
            </w:pPr>
            <w:r>
              <w:rPr>
                <w:rFonts w:ascii="Times New Roman" w:hAnsi="Times New Roman" w:cs="Times New Roman" w:eastAsia="Times New Roman"/>
                <w:b w:val="false"/>
                <w:sz w:val="26"/>
              </w:rPr>
              <w:t>23-04-2018</w:t>
            </w:r>
          </w:p>
        </w:tc>
        <w:tc>
          <w:p/>
        </w:tc>
      </w:tr>
      <w:tr>
        <w:tc>
          <w:p/>
          <w:p>
            <w:pPr>
              <w:spacing w:after="0" w:before="0" w:lineRule="auto" w:line="276"/>
              <w:jc w:val="left"/>
            </w:pPr>
            <w:r>
              <w:rPr>
                <w:rFonts w:ascii="Times New Roman" w:hAnsi="Times New Roman" w:cs="Times New Roman" w:eastAsia="Times New Roman"/>
                <w:b w:val="false"/>
                <w:sz w:val="26"/>
              </w:rPr>
              <w:t>45/2020/NĐ-CP</w:t>
            </w:r>
          </w:p>
        </w:tc>
        <w:tc>
          <w:p/>
          <w:p>
            <w:pPr>
              <w:spacing w:after="0" w:before="0" w:lineRule="auto" w:line="276"/>
              <w:jc w:val="left"/>
            </w:pPr>
            <w:r>
              <w:rPr>
                <w:rFonts w:ascii="Times New Roman" w:hAnsi="Times New Roman" w:cs="Times New Roman" w:eastAsia="Times New Roman"/>
                <w:b w:val="false"/>
                <w:sz w:val="26"/>
              </w:rPr>
              <w:t>Nghị định 45/2020/NĐ-CP</w:t>
            </w:r>
          </w:p>
        </w:tc>
        <w:tc>
          <w:p/>
          <w:p>
            <w:pPr>
              <w:spacing w:after="0" w:before="0" w:lineRule="auto" w:line="276"/>
              <w:jc w:val="left"/>
            </w:pPr>
            <w:r>
              <w:rPr>
                <w:rFonts w:ascii="Times New Roman" w:hAnsi="Times New Roman" w:cs="Times New Roman" w:eastAsia="Times New Roman"/>
                <w:b w:val="false"/>
                <w:sz w:val="26"/>
              </w:rPr>
              <w:t>08-04-2020</w:t>
            </w:r>
          </w:p>
        </w:tc>
        <w:tc>
          <w:p/>
        </w:tc>
      </w:tr>
      <w:tr>
        <w:tc>
          <w:p/>
          <w:p>
            <w:pPr>
              <w:spacing w:after="0" w:before="0" w:lineRule="auto" w:line="276"/>
              <w:jc w:val="left"/>
            </w:pPr>
            <w:r>
              <w:rPr>
                <w:rFonts w:ascii="Times New Roman" w:hAnsi="Times New Roman" w:cs="Times New Roman" w:eastAsia="Times New Roman"/>
                <w:b w:val="false"/>
                <w:sz w:val="26"/>
              </w:rPr>
              <w:t>42/2022/NĐ-CP</w:t>
            </w:r>
          </w:p>
        </w:tc>
        <w:tc>
          <w:p/>
          <w:p>
            <w:pPr>
              <w:spacing w:after="0" w:before="0" w:lineRule="auto" w:line="276"/>
              <w:jc w:val="left"/>
            </w:pPr>
            <w:r>
              <w:rPr>
                <w:rFonts w:ascii="Times New Roman" w:hAnsi="Times New Roman" w:cs="Times New Roman" w:eastAsia="Times New Roman"/>
                <w:b w:val="false"/>
                <w:sz w:val="26"/>
              </w:rPr>
              <w:t>Nghị định 42/2022/NĐ-CP</w:t>
            </w:r>
          </w:p>
        </w:tc>
        <w:tc>
          <w:p/>
          <w:p>
            <w:pPr>
              <w:spacing w:after="0" w:before="0" w:lineRule="auto" w:line="276"/>
              <w:jc w:val="left"/>
            </w:pPr>
            <w:r>
              <w:rPr>
                <w:rFonts w:ascii="Times New Roman" w:hAnsi="Times New Roman" w:cs="Times New Roman" w:eastAsia="Times New Roman"/>
                <w:b w:val="false"/>
                <w:sz w:val="26"/>
              </w:rPr>
              <w:t>24-06-2022</w:t>
            </w:r>
          </w:p>
        </w:tc>
        <w:tc>
          <w:p/>
        </w:tc>
      </w:tr>
      <w:tr>
        <w:tc>
          <w:p/>
          <w:p>
            <w:pPr>
              <w:spacing w:after="0" w:before="0" w:lineRule="auto" w:line="276"/>
              <w:jc w:val="left"/>
            </w:pPr>
            <w:r>
              <w:rPr>
                <w:rFonts w:ascii="Times New Roman" w:hAnsi="Times New Roman" w:cs="Times New Roman" w:eastAsia="Times New Roman"/>
                <w:b w:val="false"/>
                <w:sz w:val="26"/>
              </w:rPr>
              <w:t>107/2021/NĐ-CP</w:t>
            </w:r>
          </w:p>
        </w:tc>
        <w:tc>
          <w:p/>
          <w:p>
            <w:pPr>
              <w:spacing w:after="0" w:before="0" w:lineRule="auto" w:line="276"/>
              <w:jc w:val="left"/>
            </w:pPr>
            <w:r>
              <w:rPr>
                <w:rFonts w:ascii="Times New Roman" w:hAnsi="Times New Roman" w:cs="Times New Roman" w:eastAsia="Times New Roman"/>
                <w:b w:val="false"/>
                <w:sz w:val="26"/>
              </w:rPr>
              <w:t>Nghị định số 107/2021/NĐ-CP của Chính phủ: Sửa đổi, bổ sung một số điều của Nghị định số 61/2018/NĐ-CP ngày 23 tháng 4 năm 2018 của Chính phủ về thực hiện cơ chế một cửa, một cửa liên thông trong giải quyết thủ tục hành chính</w:t>
            </w:r>
          </w:p>
        </w:tc>
        <w:tc>
          <w:p/>
          <w:p>
            <w:pPr>
              <w:spacing w:after="0" w:before="0" w:lineRule="auto" w:line="276"/>
              <w:jc w:val="left"/>
            </w:pPr>
            <w:r>
              <w:rPr>
                <w:rFonts w:ascii="Times New Roman" w:hAnsi="Times New Roman" w:cs="Times New Roman" w:eastAsia="Times New Roman"/>
                <w:b w:val="false"/>
                <w:sz w:val="26"/>
              </w:rPr>
              <w:t>06-12-2021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06/2024/TT-BTP</w:t>
            </w:r>
          </w:p>
        </w:tc>
        <w:tc>
          <w:p/>
          <w:p>
            <w:pPr>
              <w:spacing w:after="0" w:before="0" w:lineRule="auto" w:line="276"/>
              <w:jc w:val="left"/>
            </w:pPr>
            <w:r>
              <w:rPr>
                <w:rFonts w:ascii="Times New Roman" w:hAnsi="Times New Roman" w:cs="Times New Roman" w:eastAsia="Times New Roman"/>
                <w:b w:val="false"/>
                <w:sz w:val="26"/>
              </w:rPr>
              <w:t>Thông tư 06/2024/TT-BTP ngày 19/6/2024 của Bộ trưởng Bộ Tư pháp sửa đổi, bổ sung một số điều của các Thông tư ban hành và hướng dẫn sử dụng biểu mẫu, mẫu sổ lý lịch tư pháp</w:t>
            </w:r>
          </w:p>
        </w:tc>
        <w:tc>
          <w:p/>
          <w:p>
            <w:pPr>
              <w:spacing w:after="0" w:before="0" w:lineRule="auto" w:line="276"/>
              <w:jc w:val="left"/>
            </w:pPr>
            <w:r>
              <w:rPr>
                <w:rFonts w:ascii="Times New Roman" w:hAnsi="Times New Roman" w:cs="Times New Roman" w:eastAsia="Times New Roman"/>
                <w:b w:val="false"/>
                <w:sz w:val="26"/>
              </w:rPr>
              <w:t>19-06-2024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2026-05-23T16:20:56Z</dcterms:created>
  <dc:creator>Apache POI</dc:creator>
</cp:coreProperties>
</file>