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bổ sung, điều chỉnh quy hoạch đối với dự án đầu tư xây dựng công trình kho xăng dầu có dung tích kho từ trên 210m3 đến dưới 5.000m3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Dầu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Sở Công Thương nhận tiếp nhận hồ sơ đề nghị bổ sung, điều chỉnh dự án kho xăng dầu có dung tích kho dưới 5.000m3 vào quy hoạch đã được Bộ trưởng Bộ Công Thương hoặc Chủ tịch Ủy ban nhân dân tỉnh phê duyệt</w:t>
      </w:r>
    </w:p>
    <w:p>
      <w:pPr>
        <w:spacing w:after="0" w:before="0" w:lineRule="auto" w:line="276"/>
        <w:jc w:val="both"/>
      </w:pPr>
      <w:r>
        <w:rPr>
          <w:rFonts w:ascii="Times New Roman" w:hAnsi="Times New Roman" w:cs="Times New Roman" w:eastAsia="Times New Roman"/>
          <w:b w:val="false"/>
          <w:sz w:val="26"/>
        </w:rPr>
        <w:t>2.	 	Trong thời hạn năm (05) ngày làm việc kể từ ngày Sở Công Thương nhận được hồ sơ, nếu hồ sơ không hợp lệ, Sở Công Thương phải thông báo bằng văn bản cho chủ đầu tư đề nghị bổ sung, điều chỉnh quy hoạch kho xăng dầu để hoàn chỉnh hồ sơ</w:t>
      </w:r>
    </w:p>
    <w:p>
      <w:pPr>
        <w:spacing w:after="0" w:before="0" w:lineRule="auto" w:line="276"/>
        <w:jc w:val="both"/>
      </w:pPr>
      <w:r>
        <w:rPr>
          <w:rFonts w:ascii="Times New Roman" w:hAnsi="Times New Roman" w:cs="Times New Roman" w:eastAsia="Times New Roman"/>
          <w:b w:val="false"/>
          <w:sz w:val="26"/>
        </w:rPr>
        <w:t>3.	 	Trong thời gian 05 ngày làm việc kể từ ngày nhận đủ hồ sơ hợp lệ, Sở Công Thương có trách nhiệm trình Chủ tịch Ủy ban nhân dân cấp Tỉnh ban hành Quyết định thành lập Hội đồng thẩm định</w:t>
      </w:r>
    </w:p>
    <w:p>
      <w:pPr>
        <w:spacing w:after="0" w:before="0" w:lineRule="auto" w:line="276"/>
        <w:jc w:val="both"/>
      </w:pPr>
      <w:r>
        <w:rPr>
          <w:rFonts w:ascii="Times New Roman" w:hAnsi="Times New Roman" w:cs="Times New Roman" w:eastAsia="Times New Roman"/>
          <w:b w:val="false"/>
          <w:sz w:val="26"/>
        </w:rPr>
        <w:t>4.	 	Trong thời hạn năm (05) ngày làm việc kể từ ngày có quyết định thành lập Hội đồng thẩm định, Phòng Quản lý Thương mại, Sở Công Thương gửi hồ sơ thẩm định xem xét bổ sung, điều chỉnh quy hoạch đối với dự án đầu tư xây dựng công trình kho xăng dầu tới các thành viên Hội đồng thẩm định để lấy ý kiến đóng góp</w:t>
      </w:r>
    </w:p>
    <w:p>
      <w:pPr>
        <w:spacing w:after="0" w:before="0" w:lineRule="auto" w:line="276"/>
        <w:jc w:val="both"/>
      </w:pPr>
      <w:r>
        <w:rPr>
          <w:rFonts w:ascii="Times New Roman" w:hAnsi="Times New Roman" w:cs="Times New Roman" w:eastAsia="Times New Roman"/>
          <w:b w:val="false"/>
          <w:sz w:val="26"/>
        </w:rPr>
        <w:t>5.	 	Trong thời hạn mười lăm (15) ngày làm việc kể từ ngày nhận được hồ sơ thẩm định xem xét bổ sung, điều chỉnh quy hoạch đối với dự án đầu tư xây dựng công trình kho xăng dầu các uỷ viên Hội đồng thẩm định phải gửi ý kiến nhận xét bằng văn bản tới Sở Công Thương để tổng hợp</w:t>
      </w:r>
    </w:p>
    <w:p>
      <w:pPr>
        <w:spacing w:after="0" w:before="0" w:lineRule="auto" w:line="276"/>
        <w:jc w:val="both"/>
      </w:pPr>
      <w:r>
        <w:rPr>
          <w:rFonts w:ascii="Times New Roman" w:hAnsi="Times New Roman" w:cs="Times New Roman" w:eastAsia="Times New Roman"/>
          <w:b w:val="false"/>
          <w:sz w:val="26"/>
        </w:rPr>
        <w:t>6.	 	Trong vòng mười lăm (15) ngày làm việc sau khi nhận được ý kiến của các thành viên Hội đồng thẩm định, Phòng Quản lý Thương mại, Sở Công Thương tổng hợp ý kiến và trình Chủ tịch Hội đồng thẩm định về việc tổ chức họp thẩm định xem xét bổ sung, điều chỉnh quy hoạch đối với dự án đầu tư xây dựng công trình kho xăng dầu. Hội đồng thẩm định tiến hành họp và thông qua các văn bản: Biên bản phiên họp thẩm định xem xét bổ sung, điều chỉnh quy hoạch đối với dự án đầu tư kho xăng dầu, Biên bản kiểm phiếu đánh giá dự án đầu tư xây dựng công trình kho xăng dầu và Kết luận của Chủ tịch Hội đồng thẩm định</w:t>
      </w:r>
    </w:p>
    <w:p>
      <w:pPr>
        <w:spacing w:after="0" w:before="0" w:lineRule="auto" w:line="276"/>
        <w:jc w:val="both"/>
      </w:pPr>
      <w:r>
        <w:rPr>
          <w:rFonts w:ascii="Times New Roman" w:hAnsi="Times New Roman" w:cs="Times New Roman" w:eastAsia="Times New Roman"/>
          <w:b w:val="false"/>
          <w:sz w:val="26"/>
        </w:rPr>
        <w:t>7.	 	Biên bản phiên họp thông qua bổ sung, điều chỉnh quy hoạch đối với dự án đầu tư xây dựng công trình kho xăng dầu khi có ít nhất hai phần ba (2/3) số thành viên Hội đồng tham dự cuộc họp thẩm định, nhưng không ít hơn năm mươi phần trăm (50%) số thành viên Hội đồng thẩm định bỏ phiếu đồng ý bổ sung, điều chỉnh quy hoạch đối với dự án đầu tư xây dựng công trình kho xăng dầu đồng thời Chủ đầu tư phải chỉnh sửa, bổ sung Hồ sơ đề nghị bổ sung, điều chỉnh quy hoạch đối với dự án đầu tư xây dựng công trình kho xăng dầu khi có ít nhất một yêu cầu chỉnh sửa, bổ sung. Mẫu Biên bản thẩm định và Phiếu đánh giá đối với dự án đầu tư xây dựng công trình kho xăng dầu tại Phụ lục 3 và Phụ lục 4 Thông tư số 39/2013/TT-BCT ngày 31 tháng 12 năm 2013</w:t>
      </w:r>
    </w:p>
    <w:p>
      <w:pPr>
        <w:spacing w:after="0" w:before="0" w:lineRule="auto" w:line="276"/>
        <w:jc w:val="both"/>
      </w:pPr>
      <w:r>
        <w:rPr>
          <w:rFonts w:ascii="Times New Roman" w:hAnsi="Times New Roman" w:cs="Times New Roman" w:eastAsia="Times New Roman"/>
          <w:b w:val="false"/>
          <w:sz w:val="26"/>
        </w:rPr>
        <w:t>8.	 	Không bổ sung, điều chỉnh quy hoạch đối với dự án đầu tư xây dựng công trình kho xăng dầu khi có trên một phần ba (1/3) số thành viên Hội đồng thẩm định tham dự phiên họp thẩm định bổ phiếu không đồng ý bổ sung, điều chỉnh quy hoạch đối với dự án đầu tư xây dựng công trình kho xăng dầu</w:t>
      </w:r>
    </w:p>
    <w:p>
      <w:pPr>
        <w:spacing w:after="0" w:before="0" w:lineRule="auto" w:line="276"/>
        <w:jc w:val="both"/>
      </w:pPr>
      <w:r>
        <w:rPr>
          <w:rFonts w:ascii="Times New Roman" w:hAnsi="Times New Roman" w:cs="Times New Roman" w:eastAsia="Times New Roman"/>
          <w:b w:val="false"/>
          <w:sz w:val="26"/>
        </w:rPr>
        <w:t>9.	 	Trong thời hạn mười (10) ngày làm việc kể từ khi nhận được Hồ sơ dự án đã được Chủ đầu tư hoàn chỉnh theo yêu cầu của Hội đồng thẩm định, Sở Công Thương trình Chủ tịch Ủy ban nhân dân cấp Tỉnh (Quy hoạch do cấp Tỉnh lập và phê duyệt) xem xét, phê duyệt Quyết định bổ sung, điều chỉnh quy hoạch. Trường hợp không bổ sung, điều chỉnh quy hoạch đối với dự án đầu tư xây dựng công trình kho xăng dầu, Sở Công Thương phải có văn bản thông báo cho Chủ đầu tư và nêu rõ lý do</w:t>
      </w:r>
    </w:p>
    <w:p>
      <w:pPr>
        <w:spacing w:after="0" w:before="0" w:lineRule="auto" w:line="276"/>
        <w:jc w:val="both"/>
      </w:pPr>
      <w:r>
        <w:rPr>
          <w:rFonts w:ascii="Times New Roman" w:hAnsi="Times New Roman" w:cs="Times New Roman" w:eastAsia="Times New Roman"/>
          <w:b w:val="false"/>
          <w:sz w:val="26"/>
        </w:rPr>
        <w:t>10.	 	Trường hợp Hồ sơ đề nghị thẩm định, phê duyệt bổ sung, điều chỉnh quy hoạch đối với các dự án đầu tư kho xăng dầu thuộc thẩm quyền thẩm định của Sở Công Thương và thẩm quyền phê duyệt của Bộ Công Thương theo quy định tại điểm b khoản 1 và điểm b khoản 2 Điều 6 Thông tư 39/2013/TT-BCT. Trong thời hạn mười (10) ngày làm việc kể từ khi nhận được Hồ sơ, Vụ Kế hoạch, Bộ Công Thương có trách nhiệm phối hợp với các cơ quan, đơn vị liên quan xem xét, thẩm định báo cáo kết quả của Hội đồng thẩm định cấp tỉnh trước khi trình Lãnh đạo Bộ xem xét, phê duyệt bổ sung, điều chỉnh quy hoạch theo quy định. Trường hợp không chấp thuận bổ sung, điều chỉnh quy hoạch phải thông báo cho Sở Công Thương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điều chỉnh quy hoạch đối với dự án đầu tư xây dựng kho xăng dầu của tổ chức, cá nhân: theo mẫu tại Phụ lục 1 Thông tư số 39/2013/TT-BCT ngày 31 tháng 12 năm 2013</w:t>
            </w:r>
          </w:p>
        </w:tc>
        <w:tc>
          <w:p/>
          <w:p>
            <w:pPr>
              <w:spacing w:after="0" w:before="0" w:lineRule="auto" w:line="276"/>
              <w:jc w:val="left"/>
            </w:pPr>
            <w:r>
              <w:rPr>
                <w:rFonts w:ascii="Times New Roman" w:hAnsi="Times New Roman" w:cs="Times New Roman" w:eastAsia="Times New Roman"/>
                <w:b w:val="false"/>
                <w:sz w:val="26"/>
              </w:rPr>
              <w:t>Phụ lục I Thông tư số 392013TT-BCT.doc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có chứng thực Giấy chứng nhận quyền sử dụng đất và Văn bản chấp thuận về địa điểm đầu tư của cấp có thẩm quyền tại địa phương nơi có dự án đầu tư xây dựng công trình kho xăng dầu phù hợp với quy hoạch xây dựng hoặc Thỏa thuận về địa điểm đầu tư xây dựng công trình kho xăng dầu chưa có trong quy hoạch xây dựng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có chứng thực Giấy chứng nhận đăng ký doanh nghiệp có đăng ký ngành nghề kinh doanh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Báo cáo sơ bộ sự cần thiết của dự án đầu tư, cân đối cung cầu xăng dầu khu vực, sự phù hợp về về địa điểm, quy mô; dung tích; các yêu cầu về kỹ thuật an toàn: Phương án phòng cháy, chữa cháy, phương án bảo vệ môi trường; tiến độ của dự án đầu tư; tính toán phương án kinh doanh và hiệu quả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Phương án công nghệ dự kiến áp dụng, các thiết bị công nghệ chính đối với công trình kho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Hệ thống kỹ thuật và hạ tầng kỹ thuật chủ yếu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Phương án thu xếp vốn đầu tư; Bản sao có chứng thực báo cáo tài chính doanh nghiệp ba (03) năm gần nhất doanh nghiệp đã hoạt động trên ba (03) năm, báo cáo tài chính của doanh nghiệp hai (02) năm gần nhất hoặc một (01) năm gần nhất đối với doanh nghiệp mới hoạt động được hai (02) năm hoặc một (01) năm. Những doanh nghiệp mới thành lập hoặc hoạt động dưới một (01) năm không phải nộp báo cáo tài chính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Danh mục các tiêu chuẩn quốc gia (TCVN), quy chuẩn kỹ thuật quốc gia (QCVN) đã được áp dụng hoặc các tiêu chuẩn quốc tế tương đương phù hợp với quy định pháp luật hiện hành và khoảng cách an toàn công trình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ỦY BAN NHÂN DÂN TỈNH VỀ VIỆC ĐIỀU CHỈNH, BỔ SUNG QUY HOẠCH ĐỐI VỚI KHO XĂNG DẦU CÓ DUNG TÍCH KHO TỪ TRÊN 210M3 ĐẾN DƯỚI 5000M3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92/2006/NĐ-CP</w:t>
            </w:r>
          </w:p>
        </w:tc>
        <w:tc>
          <w:p/>
          <w:p>
            <w:pPr>
              <w:spacing w:after="0" w:before="0" w:lineRule="auto" w:line="276"/>
              <w:jc w:val="left"/>
            </w:pPr>
            <w:r>
              <w:rPr>
                <w:rFonts w:ascii="Times New Roman" w:hAnsi="Times New Roman" w:cs="Times New Roman" w:eastAsia="Times New Roman"/>
                <w:b w:val="false"/>
                <w:sz w:val="26"/>
              </w:rPr>
              <w:t>Về lập, phê duyệt và quản lý quy hoạch tổng thể phát triển kinh tế - xã hội</w:t>
            </w:r>
          </w:p>
        </w:tc>
        <w:tc>
          <w:p/>
          <w:p>
            <w:pPr>
              <w:spacing w:after="0" w:before="0" w:lineRule="auto" w:line="276"/>
              <w:jc w:val="left"/>
            </w:pPr>
            <w:r>
              <w:rPr>
                <w:rFonts w:ascii="Times New Roman" w:hAnsi="Times New Roman" w:cs="Times New Roman" w:eastAsia="Times New Roman"/>
                <w:b w:val="false"/>
                <w:sz w:val="26"/>
              </w:rPr>
              <w:t>07-09-2006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04/2008/NĐ-CP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92/2006/NĐ-CP ngày 07 tháng 9 năm 2006 của Chính phủ về lập, phê duyệt và quản lý quy hoạch tổng thể phát triển kinh tế - xã hội</w:t>
            </w:r>
          </w:p>
        </w:tc>
        <w:tc>
          <w:p/>
          <w:p>
            <w:pPr>
              <w:spacing w:after="0" w:before="0" w:lineRule="auto" w:line="276"/>
              <w:jc w:val="left"/>
            </w:pPr>
            <w:r>
              <w:rPr>
                <w:rFonts w:ascii="Times New Roman" w:hAnsi="Times New Roman" w:cs="Times New Roman" w:eastAsia="Times New Roman"/>
                <w:b w:val="false"/>
                <w:sz w:val="26"/>
              </w:rPr>
              <w:t>11-01-2008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84/2009/NĐ-CP</w:t>
            </w:r>
          </w:p>
        </w:tc>
        <w:tc>
          <w:p/>
          <w:p>
            <w:pPr>
              <w:spacing w:after="0" w:before="0" w:lineRule="auto" w:line="276"/>
              <w:jc w:val="left"/>
            </w:pPr>
            <w:r>
              <w:rPr>
                <w:rFonts w:ascii="Times New Roman" w:hAnsi="Times New Roman" w:cs="Times New Roman" w:eastAsia="Times New Roman"/>
                <w:b w:val="false"/>
                <w:sz w:val="26"/>
              </w:rPr>
              <w:t>Về kinh doanh xăng dầu</w:t>
            </w:r>
          </w:p>
        </w:tc>
        <w:tc>
          <w:p/>
          <w:p>
            <w:pPr>
              <w:spacing w:after="0" w:before="0" w:lineRule="auto" w:line="276"/>
              <w:jc w:val="left"/>
            </w:pPr>
            <w:r>
              <w:rPr>
                <w:rFonts w:ascii="Times New Roman" w:hAnsi="Times New Roman" w:cs="Times New Roman" w:eastAsia="Times New Roman"/>
                <w:b w:val="false"/>
                <w:sz w:val="26"/>
              </w:rPr>
              <w:t>15-10-2009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 Yêu cầu, điều kiện thực hiện thủ tục hành chính:
o Được đào tạo về chuyên ngành kinh tế, đã được bồi dưỡng kiến thức pháp luật về quản lý quy hoạch, quản lý kinh doanh xăng dầu.
o Nắm vững các quy trình, quy định về công tác quản lý quy hoạch; có khả năng nghiên cứu, phát hiện, phân tích, tổng hợp và đề xuất biện pháp giải quyết theo chức năng của công tác quy hoạch.
o Đủ sức khoẻ, có phẩm chất đạo đức tốt, có ý thức trách nhiệm, trung thực, công minh và khách quan.
- Đối với cán bộ thực hiện thủ tục hành chính của Sở Công Thương phải có đủ các tiêu chuẩn sau:
o Có trình độ đại học trở lên về chuyên ngành kinh tế hoặc chuyên ngành liên quan đến ngành, lĩnh vực sản phẩm xăng dầu.
o Có kinh nghiệm công tác trong lĩnh vực quản lý nhà nước về quy hoạch hoặc có kinh nghiệm quản lý ngành, lĩnh vực sản phẩm xăng dầu với ít nhất bốn (03) năm kinh nghiệm nếu có bằng đại học; hai (02) năm kinh nghiệm nếu có bằng thạc sỹ; một (01) năm kinh nghiệm nếu có bằng tiến sỹ.
o Đã được bồi dưỡng kiến thức quản lý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2026-05-05T06:13:19Z</dcterms:created>
  <dc:creator>Apache POI</dc:creator>
</cp:coreProperties>
</file>