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1.000502.000.00.00.H26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1031/QĐ-TTPVHCC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Nhận lại tiền ký quỹ của doanh nghiệp đưa người lao động đi đào tạo, nâng cao trình độ, kỹ năng nghề ở nước ngoài (hợp đồng dưới 90 ngày)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gửi hồ sơ theo quy định đến UBND cấp huyện.</w:t>
      </w:r>
    </w:p>
    <w:p>
      <w:pPr>
        <w:spacing w:after="0" w:before="0" w:lineRule="auto" w:line="276"/>
        <w:jc w:val="both"/>
      </w:pPr>
      <w:r>
        <w:rPr>
          <w:rFonts w:ascii="Times New Roman" w:hAnsi="Times New Roman" w:cs="Times New Roman" w:eastAsia="Times New Roman"/>
          <w:b w:val="false"/>
          <w:sz w:val="26"/>
        </w:rPr>
        <w:t>- Bước 2: Trong thời hạn 07 ngày kể từ ngày nhận đủ hồ sơ hợp lệ, Sở Lao động - Thương binh và Xã hội có công văn đề nghị Ngân hàng thương mại nơi doanh nghiệp ký quỹ tất toán tài khoản ký quỹ cho doanh nghiệp.</w:t>
      </w:r>
    </w:p>
    <w:p>
      <w:pPr>
        <w:spacing w:after="0" w:before="0" w:lineRule="auto" w:line="276"/>
        <w:jc w:val="both"/>
      </w:pPr>
      <w:r>
        <w:rPr>
          <w:rFonts w:ascii="Times New Roman" w:hAnsi="Times New Roman" w:cs="Times New Roman" w:eastAsia="Times New Roman"/>
          <w:b w:val="false"/>
          <w:sz w:val="26"/>
        </w:rPr>
        <w:t>- Bước 3: Ngân hàng thương mại nơi doanh nghiệp ký quỹ hoàn trả tiền ký quỹ và tất toán tài khoản ký quỹ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của Ủy ban nhân dân cấp huyện (trong trường hợp doanh nghiệp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của Ủy ban nhân dân cấp huyện (trong trường hợp doanh nghiệp đặt trụ sở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của Ủy ban nhân dân cấp huyện (trong trường hợp doanh nghiệp đặt trụ sở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về việc đã thanh lý Hợp đồng đào tạo nghề ở nước ngoài với người lao động kèm theo tài liệu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Điểm Phục vụ hành chính công cấp xã; - Trung tâm Phục vụ hành chính công - các chi nhánh trực thuộc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đề nghị ngân hàng nhận ký quỹ trả lại tiền ký quỹ cho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18/2018/TT-BLĐTBXH</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thủ tục hành chính thuộc phạm vi chức năng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30-10-2018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72/2006/QH11</w:t>
            </w:r>
          </w:p>
        </w:tc>
        <w:tc>
          <w:p/>
          <w:p>
            <w:pPr>
              <w:spacing w:after="0" w:before="0" w:lineRule="auto" w:line="276"/>
              <w:jc w:val="left"/>
            </w:pPr>
            <w:r>
              <w:rPr>
                <w:rFonts w:ascii="Times New Roman" w:hAnsi="Times New Roman" w:cs="Times New Roman" w:eastAsia="Times New Roman"/>
                <w:b w:val="false"/>
                <w:sz w:val="26"/>
              </w:rPr>
              <w:t>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17/2007/TTLT-BLĐTBXH-NHNNVN</w:t>
            </w:r>
          </w:p>
        </w:tc>
        <w:tc>
          <w:p/>
          <w:p>
            <w:pPr>
              <w:spacing w:after="0" w:before="0" w:lineRule="auto" w:line="276"/>
              <w:jc w:val="left"/>
            </w:pPr>
            <w:r>
              <w:rPr>
                <w:rFonts w:ascii="Times New Roman" w:hAnsi="Times New Roman" w:cs="Times New Roman" w:eastAsia="Times New Roman"/>
                <w:b w:val="false"/>
                <w:sz w:val="26"/>
              </w:rPr>
              <w:t>Quy định về việc quản lý và sử dụng tiền ký quỹ của doanh nghiệp và tiền ký quỹ của người lao động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04-09-2007</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đã thanh lý Hợp đồng đào tạo nghề ở nước ngoài với người lao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2026-05-27T17:30:51Z</dcterms:created>
  <dc:creator>Apache POI</dc:creator>
</cp:coreProperties>
</file>