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2.000457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1792 /QĐ-BKHCN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chấm dứt hợp đồng trong quá trình thực hiện dự án thuộc Chương trình phát triển tài sản trí tuệ giai đoạn 2016-2020 (đối với dự án trung ương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chủ trì, chủ nhiệm dự án nộp Hồ sơ đề nghị chấm dứt hợp đồng tới Cục Sở hữu trí tuệ;</w:t>
      </w:r>
    </w:p>
    <w:p>
      <w:pPr>
        <w:spacing w:after="0" w:before="0" w:lineRule="auto" w:line="276"/>
        <w:jc w:val="both"/>
      </w:pPr>
      <w:r>
        <w:rPr>
          <w:rFonts w:ascii="Times New Roman" w:hAnsi="Times New Roman" w:cs="Times New Roman" w:eastAsia="Times New Roman"/>
          <w:b w:val="false"/>
          <w:sz w:val="26"/>
        </w:rPr>
        <w:t>- Bước 2: Cục Sở hữu trí tuệ tiếp nhận hồ sơ, xem xét các quy định có liên quan đến từng trường hợp cụ thể trước khi báo cáo Bộ Khoa học và Công nghệ;</w:t>
      </w:r>
    </w:p>
    <w:p>
      <w:pPr>
        <w:spacing w:after="0" w:before="0" w:lineRule="auto" w:line="276"/>
        <w:jc w:val="both"/>
      </w:pPr>
      <w:r>
        <w:rPr>
          <w:rFonts w:ascii="Times New Roman" w:hAnsi="Times New Roman" w:cs="Times New Roman" w:eastAsia="Times New Roman"/>
          <w:b w:val="false"/>
          <w:sz w:val="26"/>
        </w:rPr>
        <w:t>- Bước 3: Cục Sở hữu trí tuệ trình Bộ trưởng Bộ Khoa học và Công nghệ xem xét, quyết định dừng thực hiện dự án và thông báo tạm dừng thực hiện dự án cho tổ chức chủ trì, chủ nhiệm dự án;</w:t>
      </w:r>
    </w:p>
    <w:p>
      <w:pPr>
        <w:spacing w:after="0" w:before="0" w:lineRule="auto" w:line="276"/>
        <w:jc w:val="both"/>
      </w:pPr>
      <w:r>
        <w:rPr>
          <w:rFonts w:ascii="Times New Roman" w:hAnsi="Times New Roman" w:cs="Times New Roman" w:eastAsia="Times New Roman"/>
          <w:b w:val="false"/>
          <w:sz w:val="26"/>
        </w:rPr>
        <w:t>- Bước 4: Bộ Khoa học và Công nghệ ban hành quyết định chấm dứt hợp đồng hoặc gửi văn bản trả lời tới tổ chức chủ trì, chủ nhiệm dự án nêu rõ lý do trong trường hợp không đồng ý chấm dứt hợp đồng.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Thông báo tạm dừng thực hiện nhiệm vụ: trong thời hạn 07 ngày làm việc kể từ thời điểm nhận được hồ sơ đề nghị chấm dứt hợp đồng hợp lệ.
- Xem xét, ban hành Quyết định chấm dứt hợp đồng thực hiện dự án: sau khi tổ chức kiểm tra, đánh giá hồ sơ và hiện trường. Trường hợp cần thiết phải tổ chức lấy ý kiến tư vấn của các nhà khoa học, chuyên gia quản lý.</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Thông báo tạm dừng thực hiện nhiệm vụ: trong thời hạn 07 ngày làm việc kể từ thời điểm nhận được hồ sơ đề nghị chấm dứt hợp đồng hợp lệ.
- Xem xét, ban hành Quyết định chấm dứt hợp đồng thực hiện dự án: sau khi tổ chức kiểm tra, đánh giá hồ sơ và hiện trường. Trường hợp cần thiết phải tổ chức lấy ý kiến tư vấn của các nhà khoa học, chuyên gia quản lý.</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Công văn giải trình, đề nghị chấm dứt hợp đồng của tổ chức chủ trì, chủ nhiệm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Hợp đồng, Thuyết minh dự án đã ký giữa tổ chức chủ trì, chủ nhiệm dự án với Cục Sở hữu trí tuệ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tình hình thực hiện dự án</w:t>
            </w:r>
          </w:p>
        </w:tc>
        <w:tc>
          <w:p/>
          <w:p>
            <w:pPr>
              <w:spacing w:after="0" w:before="0" w:lineRule="auto" w:line="276"/>
              <w:jc w:val="left"/>
            </w:pPr>
            <w:r>
              <w:rPr>
                <w:rFonts w:ascii="Times New Roman" w:hAnsi="Times New Roman" w:cs="Times New Roman" w:eastAsia="Times New Roman"/>
                <w:b w:val="false"/>
                <w:sz w:val="26"/>
              </w:rPr>
              <w:t>Mẫu B12-BCTHDA.docx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tình hình sử dụng, thanh quyết toán kinh phí</w:t>
            </w:r>
          </w:p>
        </w:tc>
        <w:tc>
          <w:p/>
          <w:p>
            <w:pPr>
              <w:spacing w:after="0" w:before="0" w:lineRule="auto" w:line="276"/>
              <w:jc w:val="left"/>
            </w:pPr>
            <w:r>
              <w:rPr>
                <w:rFonts w:ascii="Times New Roman" w:hAnsi="Times New Roman" w:cs="Times New Roman" w:eastAsia="Times New Roman"/>
                <w:b w:val="false"/>
                <w:sz w:val="26"/>
              </w:rPr>
              <w:t>Mẫu B13-BCKPDA.docx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Sở hữu trí tuệ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chấm dứt hợp đồng thực hiện dự án Trung ương quản lý của Bộ trưởng Bộ Khoa học và Công nghệ</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08/2014/NĐ-CP</w:t>
            </w:r>
          </w:p>
        </w:tc>
        <w:tc>
          <w:p/>
          <w:p>
            <w:pPr>
              <w:spacing w:after="0" w:before="0" w:lineRule="auto" w:line="276"/>
              <w:jc w:val="left"/>
            </w:pPr>
            <w:r>
              <w:rPr>
                <w:rFonts w:ascii="Times New Roman" w:hAnsi="Times New Roman" w:cs="Times New Roman" w:eastAsia="Times New Roman"/>
                <w:b w:val="false"/>
                <w:sz w:val="26"/>
              </w:rPr>
              <w:t>Nghị định quy định chi tiết và hướng dẫn thi hành một số điều của Luật khoa học và công nghệ</w:t>
            </w:r>
          </w:p>
        </w:tc>
        <w:tc>
          <w:p/>
          <w:p>
            <w:pPr>
              <w:spacing w:after="0" w:before="0" w:lineRule="auto" w:line="276"/>
              <w:jc w:val="left"/>
            </w:pPr>
            <w:r>
              <w:rPr>
                <w:rFonts w:ascii="Times New Roman" w:hAnsi="Times New Roman" w:cs="Times New Roman" w:eastAsia="Times New Roman"/>
                <w:b w:val="false"/>
                <w:sz w:val="26"/>
              </w:rPr>
              <w:t>27-01-2014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29/2013/QH13</w:t>
            </w:r>
          </w:p>
        </w:tc>
        <w:tc>
          <w:p/>
          <w:p>
            <w:pPr>
              <w:spacing w:after="0" w:before="0" w:lineRule="auto" w:line="276"/>
              <w:jc w:val="left"/>
            </w:pPr>
            <w:r>
              <w:rPr>
                <w:rFonts w:ascii="Times New Roman" w:hAnsi="Times New Roman" w:cs="Times New Roman" w:eastAsia="Times New Roman"/>
                <w:b w:val="false"/>
                <w:sz w:val="26"/>
              </w:rPr>
              <w:t>Luật 29/2013/QH13</w:t>
            </w:r>
          </w:p>
        </w:tc>
        <w:tc>
          <w:p/>
          <w:p>
            <w:pPr>
              <w:spacing w:after="0" w:before="0" w:lineRule="auto" w:line="276"/>
              <w:jc w:val="left"/>
            </w:pPr>
            <w:r>
              <w:rPr>
                <w:rFonts w:ascii="Times New Roman" w:hAnsi="Times New Roman" w:cs="Times New Roman" w:eastAsia="Times New Roman"/>
                <w:b w:val="false"/>
                <w:sz w:val="26"/>
              </w:rPr>
              <w:t>18-06-2013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04/2015/TT-BKHCN</w:t>
            </w:r>
          </w:p>
        </w:tc>
        <w:tc>
          <w:p/>
          <w:p>
            <w:pPr>
              <w:spacing w:after="0" w:before="0" w:lineRule="auto" w:line="276"/>
              <w:jc w:val="left"/>
            </w:pPr>
            <w:r>
              <w:rPr>
                <w:rFonts w:ascii="Times New Roman" w:hAnsi="Times New Roman" w:cs="Times New Roman" w:eastAsia="Times New Roman"/>
                <w:b w:val="false"/>
                <w:sz w:val="26"/>
              </w:rPr>
              <w:t>Thông tư 04/2015/TT-BKHCN</w:t>
            </w:r>
          </w:p>
        </w:tc>
        <w:tc>
          <w:p/>
          <w:p>
            <w:pPr>
              <w:spacing w:after="0" w:before="0" w:lineRule="auto" w:line="276"/>
              <w:jc w:val="left"/>
            </w:pPr>
            <w:r>
              <w:rPr>
                <w:rFonts w:ascii="Times New Roman" w:hAnsi="Times New Roman" w:cs="Times New Roman" w:eastAsia="Times New Roman"/>
                <w:b w:val="false"/>
                <w:sz w:val="26"/>
              </w:rPr>
              <w:t>11-03-2015</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17/2017/TT-BKHCN</w:t>
            </w:r>
          </w:p>
        </w:tc>
        <w:tc>
          <w:p/>
          <w:p>
            <w:pPr>
              <w:spacing w:after="0" w:before="0" w:lineRule="auto" w:line="276"/>
              <w:jc w:val="left"/>
            </w:pPr>
            <w:r>
              <w:rPr>
                <w:rFonts w:ascii="Times New Roman" w:hAnsi="Times New Roman" w:cs="Times New Roman" w:eastAsia="Times New Roman"/>
                <w:b w:val="false"/>
                <w:sz w:val="26"/>
              </w:rPr>
              <w:t>Thông tư 17/2017/TT-BKHCN</w:t>
            </w:r>
          </w:p>
        </w:tc>
        <w:tc>
          <w:p/>
          <w:p>
            <w:pPr>
              <w:spacing w:after="0" w:before="0" w:lineRule="auto" w:line="276"/>
              <w:jc w:val="left"/>
            </w:pPr>
            <w:r>
              <w:rPr>
                <w:rFonts w:ascii="Times New Roman" w:hAnsi="Times New Roman" w:cs="Times New Roman" w:eastAsia="Times New Roman"/>
                <w:b w:val="false"/>
                <w:sz w:val="26"/>
              </w:rPr>
              <w:t>29-12-2017</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căn cứ để khẳng định việc thực hiện hoặc tiếp tục thực hiện dự án là không cần thiết và hai bên đồng ý chấm dứt họp đồng trước thời hạn;
- Dự án không thể tiếp tục thực hiện do Bộ Khoa học và Công nghệ không cấp đủ kinh phí theo tiến độ thực hiện dự án mà không có lý do chính đáng, hoặc không giải quyết những kiến nghị, đề xuất của tổ chức chủ trì, chủ nhiệm dự án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chấm dứt hợp đồng trong quá trình thực hiện dự án thuộc Chương trình phát triển tài sản trí tuệ giai đoạn 2016-2020 (đối với dự án trung ương quản lý)</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2026-05-27T00:44:12Z</dcterms:created>
  <dc:creator>Apache POI</dc:creator>
</cp:coreProperties>
</file>