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chặt hạ, dịch chuyển cây xanh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Hạ tầng kỹ thuật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Gửi hồ sơ xin cấp phép:  Gửi hồ sơ đề nghị cấp giấy phép chặt hạ, dịch chuyển cây xanh tới cơ quan được phân cấp quản lý cây xanh theo quy định của Uỷ ban nhân dân cấp tỉnh.
2. Xem xét và cấp giấy phép: Sau khi nhận đủ hồ sơ hợp lệ cơ quan được phân cấp quản lý cây xanh cấp giấy phép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
Nộp trực tuyến qua Cổng Dịch vụ công Quốc gia (một phần)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Ảnh chụp hiện trạng cây xanh đô thị cần chặt hạ, dịch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chặt hạ, dịch chuyển cây xanh đô thị; nêu rõ vị trí chặt hạ, dịch chuyển, kích thước loại cây và lý do cần chặt hạ, dịch chuyển cây xanh đô thị</w:t>
            </w:r>
          </w:p>
        </w:tc>
        <w:tc>
          <w:p/>
          <w:p>
            <w:pPr>
              <w:spacing w:after="0" w:before="0" w:lineRule="auto" w:line="276"/>
              <w:jc w:val="left"/>
            </w:pPr>
            <w:r>
              <w:rPr>
                <w:rFonts w:ascii="Times New Roman" w:hAnsi="Times New Roman" w:cs="Times New Roman" w:eastAsia="Times New Roman"/>
                <w:b w:val="false"/>
                <w:sz w:val="26"/>
              </w:rPr>
              <w:t>MuPhlc.docx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qua Cổng Dịch vụ công Quốc gia (một phần) tại địa chỉ: https://dichvucong.gov.vn - Bộ phận tiếp nhận và trả kết quả của Sở Xây dựng tại Trung tâm Phục vụ hành chính công tỉnh Thanh Hóa,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chặt hạ, di dời cây xanh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64/2010/NĐ-CP</w:t>
            </w:r>
          </w:p>
        </w:tc>
        <w:tc>
          <w:p/>
          <w:p>
            <w:pPr>
              <w:spacing w:after="0" w:before="0" w:lineRule="auto" w:line="276"/>
              <w:jc w:val="left"/>
            </w:pPr>
            <w:r>
              <w:rPr>
                <w:rFonts w:ascii="Times New Roman" w:hAnsi="Times New Roman" w:cs="Times New Roman" w:eastAsia="Times New Roman"/>
                <w:b w:val="false"/>
                <w:sz w:val="26"/>
              </w:rPr>
              <w:t>Về quản lý cây xanh đô thị</w:t>
            </w:r>
          </w:p>
        </w:tc>
        <w:tc>
          <w:p/>
          <w:p>
            <w:pPr>
              <w:spacing w:after="0" w:before="0" w:lineRule="auto" w:line="276"/>
              <w:jc w:val="left"/>
            </w:pPr>
            <w:r>
              <w:rPr>
                <w:rFonts w:ascii="Times New Roman" w:hAnsi="Times New Roman" w:cs="Times New Roman" w:eastAsia="Times New Roman"/>
                <w:b w:val="false"/>
                <w:sz w:val="26"/>
              </w:rPr>
              <w:t>11-06-2010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151/2012/QĐ-UBND</w:t>
            </w:r>
          </w:p>
        </w:tc>
        <w:tc>
          <w:p/>
          <w:p>
            <w:pPr>
              <w:spacing w:after="0" w:before="0" w:lineRule="auto" w:line="276"/>
              <w:jc w:val="left"/>
            </w:pPr>
            <w:r>
              <w:rPr>
                <w:rFonts w:ascii="Times New Roman" w:hAnsi="Times New Roman" w:cs="Times New Roman" w:eastAsia="Times New Roman"/>
                <w:b w:val="false"/>
                <w:sz w:val="26"/>
              </w:rPr>
              <w:t>Quyết định 151/2012/QĐ-UBND</w:t>
            </w:r>
          </w:p>
        </w:tc>
        <w:tc>
          <w:p/>
          <w:p>
            <w:pPr>
              <w:spacing w:after="0" w:before="0" w:lineRule="auto" w:line="276"/>
              <w:jc w:val="left"/>
            </w:pPr>
            <w:r>
              <w:rPr>
                <w:rFonts w:ascii="Times New Roman" w:hAnsi="Times New Roman" w:cs="Times New Roman" w:eastAsia="Times New Roman"/>
                <w:b w:val="false"/>
                <w:sz w:val="26"/>
              </w:rPr>
              <w:t>13-01-2012</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258/2025/NĐ-CP</w:t>
            </w:r>
          </w:p>
        </w:tc>
        <w:tc>
          <w:p/>
          <w:p>
            <w:pPr>
              <w:spacing w:after="0" w:before="0" w:lineRule="auto" w:line="276"/>
              <w:jc w:val="left"/>
            </w:pPr>
            <w:r>
              <w:rPr>
                <w:rFonts w:ascii="Times New Roman" w:hAnsi="Times New Roman" w:cs="Times New Roman" w:eastAsia="Times New Roman"/>
                <w:b w:val="false"/>
                <w:sz w:val="26"/>
              </w:rPr>
              <w:t>258/2025/NĐ-CP</w:t>
            </w:r>
          </w:p>
        </w:tc>
        <w:tc>
          <w:p/>
          <w:p>
            <w:pPr>
              <w:spacing w:after="0" w:before="0" w:lineRule="auto" w:line="276"/>
              <w:jc w:val="left"/>
            </w:pPr>
            <w:r>
              <w:rPr>
                <w:rFonts w:ascii="Times New Roman" w:hAnsi="Times New Roman" w:cs="Times New Roman" w:eastAsia="Times New Roman"/>
                <w:b w:val="false"/>
                <w:sz w:val="26"/>
              </w:rPr>
              <w:t>09-10-2025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Cây xanh đã chết, đã đổ gãy hoặc có nguy cơ gãy đổ gây nguy hiểm;
2. Cây xanh chết do bị bệnh hoặc đến tuổi già cỗi không bảo đảm an toàn;
3. Cây xanh trong các khu vực thực hiện dự án đầu tư xây dựng công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2026-05-21T22:00:27Z</dcterms:created>
  <dc:creator>Apache POI</dc:creator>
</cp:coreProperties>
</file>