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2.000219.000.00.00.H53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1675/QĐ-UBND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Đề nghị tuyển người lao động Việt Nam vào các vị trí công việc dự kiến tuyển người lao động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Việc làm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Nộp hồ sơ trực tiếp tại Trung tâm Phục vụ hành chính công tỉnh. Địa chỉ: Số 83, đường Phạm Tung, Phường 3, Thành phố Tây Ninh, tỉnh Tây Ninh. 
- Nộp hồ sơ bằng hình thức trực tuyến tại: 
+ Cổng dịch vụ công Quốc gia, địa chỉ: https://dichvucong.gov.vn/ 
- Nộp qua dịch vụ bưu chính công ích tại các điểm bưu chính thuộc hệ thống Bưu điện tỉnh trên địa bàn tỉnh Tây Ninh (Bao gồm: bưu điện tỉnh, huyện, xã) hoặc liên hệ qua số điện thoại 1900561563 để được nhân viên tại các điểm bưu chính thuộc hệ thống Bưu điện tỉnh gần nhất trực tiếp đến tiếp nhận hồ sơ tại nơi mà cá nhân, tổ chức có yêu cầu. 
Thời gian tiếp nhận và trả kết quả:Từ thứ 2 đến thứ 6 hàng tuần (Sáng từ 7 giờ đến 11 giờ 30 phút; chiều từ 13 giờ 30 phút đến 17 giờ, trừ ngày nghỉ, lễ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- 02 tháng kể từ ngày nhận được đề nghị tuyển từ 500 người lao động Việt Nam trở lên và tối đa 01 tháng kể từ ngày nhận được đề nghị tuyển từ 100 đến dưới 500 người lao động Việt Nam và 15 ngày kể từ ngày nhận được đề nghị tuyển dưới 100 người lao động Việt Nam kể từ ngày nhận đủ hồ sơ hợp lệ theo quy định </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Nộp hồ sơ trực tiếp tại Trung tâm Phục vụ hành chính công tỉnh.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- 02 tháng kể từ ngày nhận được đề nghị tuyển từ 500 người lao động Việt Nam trở lên và tối đa 01 tháng kể từ ngày nhận được đề nghị tuyển từ 100 đến dưới 500 người lao động Việt Nam và 15 ngày kể từ ngày nhận được đề nghị tuyển dưới 100 người lao động Việt Nam kể từ ngày nhận đủ hồ sơ hợp lệ theo quy định </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Nộp hồ sơ bằng hình thức trực tuyến tại: 
+ Cổng dịch vụ công Quốc gia, địa chỉ: https://dichvucong.gov.vn/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- 02 tháng kể từ ngày nhận được đề nghị tuyển từ 500 người lao động Việt Nam trở lên và tối đa 01 tháng kể từ ngày nhận được đề nghị tuyển từ 100 đến dưới 500 người lao động Việt Nam và 15 ngày kể từ ngày nhận được đề nghị tuyển dưới 100 người lao động Việt Nam kể từ ngày nhận đủ hồ sơ hợp lệ theo quy định </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Nộp qua dịch vụ bưu chính công ích tại các điểm bưu chính thuộc hệ thống Bưu điện tỉnh trên địa bàn tỉnh Tây Ninh (Bao gồm: bưu điện tỉnh, huyện, xã) hoặc liên hệ qua số điện thoại 1900561563 để được nhân viên tại các điểm bưu chính thuộc hệ thống Bưu điện tỉnh gần nhất trực tiếp đến tiếp nhận hồ sơ tại nơi mà cá nhân, tổ chức có yêu cầu.</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Đề nghị tuyển người lao động Việt Nam vào các vị trí công việc dự kiến tuyển người lao động nước ngoài theo Mẫu số 04/PLI Phụ lục I ban hành kèm theo Nghị định số 152/2020/NĐ-CP hoặc điều chỉnh, bổ sung nhu cầu sử dụng người lao động nước ngoài theo Mẫu số 05/PLI Phụ lục I ban hành kèm theo Nghị định số 152/2020/NĐ-CP</w:t>
            </w:r>
          </w:p>
        </w:tc>
        <w:tc>
          <w:p/>
          <w:p>
            <w:pPr>
              <w:spacing w:after="0" w:before="0" w:lineRule="auto" w:line="276"/>
              <w:jc w:val="left"/>
            </w:pPr>
            <w:r>
              <w:rPr>
                <w:rFonts w:ascii="Times New Roman" w:hAnsi="Times New Roman" w:cs="Times New Roman" w:eastAsia="Times New Roman"/>
                <w:b w:val="false"/>
                <w:sz w:val="26"/>
              </w:rPr>
              <w:t>16.Mus05PL1Nghnh152.docx</w:t>
            </w:r>
          </w:p>
          <w:p>
            <w:pPr>
              <w:spacing w:after="0" w:before="0" w:lineRule="auto" w:line="276"/>
              <w:jc w:val="left"/>
            </w:pPr>
            <w:r>
              <w:rPr>
                <w:rFonts w:ascii="Times New Roman" w:hAnsi="Times New Roman" w:cs="Times New Roman" w:eastAsia="Times New Roman"/>
                <w:b w:val="false"/>
                <w:sz w:val="26"/>
              </w:rPr>
              <w:t>16.Mus04PLIPhlcIbanhnhkmtheoNghnhs1522020.docx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 tỉnh Tây Ninh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Nội vụ tỉnh Tây Ninh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Địa chỉ: Số 83, đường Phạm Tung, Phường 3, Thành phố Tây Ninh, tỉnh Tây Ninh.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nhà thầu được tuyển người lao động nước ngoài vào vị trí công việc không tuyển được người lao động Việt Nam.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45/2019/QH14</w:t>
            </w:r>
          </w:p>
        </w:tc>
        <w:tc>
          <w:p/>
          <w:p>
            <w:pPr>
              <w:spacing w:after="0" w:before="0" w:lineRule="auto" w:line="276"/>
              <w:jc w:val="left"/>
            </w:pPr>
            <w:r>
              <w:rPr>
                <w:rFonts w:ascii="Times New Roman" w:hAnsi="Times New Roman" w:cs="Times New Roman" w:eastAsia="Times New Roman"/>
                <w:b w:val="false"/>
                <w:sz w:val="26"/>
              </w:rPr>
              <w:t>Bộ luật 45/2019/QH14</w:t>
            </w:r>
          </w:p>
        </w:tc>
        <w:tc>
          <w:p/>
          <w:p>
            <w:pPr>
              <w:spacing w:after="0" w:before="0" w:lineRule="auto" w:line="276"/>
              <w:jc w:val="left"/>
            </w:pPr>
            <w:r>
              <w:rPr>
                <w:rFonts w:ascii="Times New Roman" w:hAnsi="Times New Roman" w:cs="Times New Roman" w:eastAsia="Times New Roman"/>
                <w:b w:val="false"/>
                <w:sz w:val="26"/>
              </w:rPr>
              <w:t>20-11-2019</w:t>
            </w:r>
          </w:p>
        </w:tc>
        <w:tc>
          <w:p/>
        </w:tc>
      </w:tr>
      <w:tr>
        <w:tc>
          <w:p/>
          <w:p>
            <w:pPr>
              <w:spacing w:after="0" w:before="0" w:lineRule="auto" w:line="276"/>
              <w:jc w:val="left"/>
            </w:pPr>
            <w:r>
              <w:rPr>
                <w:rFonts w:ascii="Times New Roman" w:hAnsi="Times New Roman" w:cs="Times New Roman" w:eastAsia="Times New Roman"/>
                <w:b w:val="false"/>
                <w:sz w:val="26"/>
              </w:rPr>
              <w:t>61/2018/NĐ-CP</w:t>
            </w:r>
          </w:p>
        </w:tc>
        <w:tc>
          <w:p/>
          <w:p>
            <w:pPr>
              <w:spacing w:after="0" w:before="0" w:lineRule="auto" w:line="276"/>
              <w:jc w:val="left"/>
            </w:pPr>
            <w:r>
              <w:rPr>
                <w:rFonts w:ascii="Times New Roman" w:hAnsi="Times New Roman" w:cs="Times New Roman" w:eastAsia="Times New Roman"/>
                <w:b w:val="false"/>
                <w:sz w:val="26"/>
              </w:rPr>
              <w:t>Nghị định 61/2018/NĐ-CP</w:t>
            </w:r>
          </w:p>
        </w:tc>
        <w:tc>
          <w:p/>
          <w:p>
            <w:pPr>
              <w:spacing w:after="0" w:before="0" w:lineRule="auto" w:line="276"/>
              <w:jc w:val="left"/>
            </w:pPr>
            <w:r>
              <w:rPr>
                <w:rFonts w:ascii="Times New Roman" w:hAnsi="Times New Roman" w:cs="Times New Roman" w:eastAsia="Times New Roman"/>
                <w:b w:val="false"/>
                <w:sz w:val="26"/>
              </w:rPr>
              <w:t>23-04-2018</w:t>
            </w:r>
          </w:p>
        </w:tc>
        <w:tc>
          <w:p/>
        </w:tc>
      </w:tr>
      <w:tr>
        <w:tc>
          <w:p/>
          <w:p>
            <w:pPr>
              <w:spacing w:after="0" w:before="0" w:lineRule="auto" w:line="276"/>
              <w:jc w:val="left"/>
            </w:pPr>
            <w:r>
              <w:rPr>
                <w:rFonts w:ascii="Times New Roman" w:hAnsi="Times New Roman" w:cs="Times New Roman" w:eastAsia="Times New Roman"/>
                <w:b w:val="false"/>
                <w:sz w:val="26"/>
              </w:rPr>
              <w:t>01/2018/TT-VPCP</w:t>
            </w:r>
          </w:p>
        </w:tc>
        <w:tc>
          <w:p/>
          <w:p>
            <w:pPr>
              <w:spacing w:after="0" w:before="0" w:lineRule="auto" w:line="276"/>
              <w:jc w:val="left"/>
            </w:pPr>
            <w:r>
              <w:rPr>
                <w:rFonts w:ascii="Times New Roman" w:hAnsi="Times New Roman" w:cs="Times New Roman" w:eastAsia="Times New Roman"/>
                <w:b w:val="false"/>
                <w:sz w:val="26"/>
              </w:rPr>
              <w:t>Thông tư 01/2018/TT-VPCP</w:t>
            </w:r>
          </w:p>
        </w:tc>
        <w:tc>
          <w:p/>
          <w:p>
            <w:pPr>
              <w:spacing w:after="0" w:before="0" w:lineRule="auto" w:line="276"/>
              <w:jc w:val="left"/>
            </w:pPr>
            <w:r>
              <w:rPr>
                <w:rFonts w:ascii="Times New Roman" w:hAnsi="Times New Roman" w:cs="Times New Roman" w:eastAsia="Times New Roman"/>
                <w:b w:val="false"/>
                <w:sz w:val="26"/>
              </w:rPr>
              <w:t>23-11-2018</w:t>
            </w:r>
          </w:p>
        </w:tc>
        <w:tc>
          <w:p/>
        </w:tc>
      </w:tr>
      <w:tr>
        <w:tc>
          <w:p/>
          <w:p>
            <w:pPr>
              <w:spacing w:after="0" w:before="0" w:lineRule="auto" w:line="276"/>
              <w:jc w:val="left"/>
            </w:pPr>
            <w:r>
              <w:rPr>
                <w:rFonts w:ascii="Times New Roman" w:hAnsi="Times New Roman" w:cs="Times New Roman" w:eastAsia="Times New Roman"/>
                <w:b w:val="false"/>
                <w:sz w:val="26"/>
              </w:rPr>
              <w:t>152/2020/NĐ-CP</w:t>
            </w:r>
          </w:p>
        </w:tc>
        <w:tc>
          <w:p/>
          <w:p>
            <w:pPr>
              <w:spacing w:after="0" w:before="0" w:lineRule="auto" w:line="276"/>
              <w:jc w:val="left"/>
            </w:pPr>
            <w:r>
              <w:rPr>
                <w:rFonts w:ascii="Times New Roman" w:hAnsi="Times New Roman" w:cs="Times New Roman" w:eastAsia="Times New Roman"/>
                <w:b w:val="false"/>
                <w:sz w:val="26"/>
              </w:rPr>
              <w:t>Nghị định 152/2020/NĐ-CP</w:t>
            </w:r>
          </w:p>
        </w:tc>
        <w:tc>
          <w:p/>
          <w:p>
            <w:pPr>
              <w:spacing w:after="0" w:before="0" w:lineRule="auto" w:line="276"/>
              <w:jc w:val="left"/>
            </w:pPr>
            <w:r>
              <w:rPr>
                <w:rFonts w:ascii="Times New Roman" w:hAnsi="Times New Roman" w:cs="Times New Roman" w:eastAsia="Times New Roman"/>
                <w:b w:val="false"/>
                <w:sz w:val="26"/>
              </w:rPr>
              <w:t>30-12-2020</w:t>
            </w:r>
          </w:p>
        </w:tc>
        <w:tc>
          <w:p/>
        </w:tc>
      </w:tr>
      <w:tr>
        <w:tc>
          <w:p/>
          <w:p>
            <w:pPr>
              <w:spacing w:after="0" w:before="0" w:lineRule="auto" w:line="276"/>
              <w:jc w:val="left"/>
            </w:pPr>
            <w:r>
              <w:rPr>
                <w:rFonts w:ascii="Times New Roman" w:hAnsi="Times New Roman" w:cs="Times New Roman" w:eastAsia="Times New Roman"/>
                <w:b w:val="false"/>
                <w:sz w:val="26"/>
              </w:rPr>
              <w:t>08/2021/NQ-HĐND</w:t>
            </w:r>
          </w:p>
        </w:tc>
        <w:tc>
          <w:p/>
          <w:p>
            <w:pPr>
              <w:spacing w:after="0" w:before="0" w:lineRule="auto" w:line="276"/>
              <w:jc w:val="left"/>
            </w:pPr>
            <w:r>
              <w:rPr>
                <w:rFonts w:ascii="Times New Roman" w:hAnsi="Times New Roman" w:cs="Times New Roman" w:eastAsia="Times New Roman"/>
                <w:b w:val="false"/>
                <w:sz w:val="26"/>
              </w:rPr>
              <w:t>Nghị quyết</w:t>
            </w:r>
          </w:p>
        </w:tc>
        <w:tc>
          <w:p/>
          <w:p>
            <w:pPr>
              <w:spacing w:after="0" w:before="0" w:lineRule="auto" w:line="276"/>
              <w:jc w:val="left"/>
            </w:pPr>
            <w:r>
              <w:rPr>
                <w:rFonts w:ascii="Times New Roman" w:hAnsi="Times New Roman" w:cs="Times New Roman" w:eastAsia="Times New Roman"/>
                <w:b w:val="false"/>
                <w:sz w:val="26"/>
              </w:rPr>
              <w:t>01-07-2021</w:t>
            </w:r>
          </w:p>
        </w:tc>
        <w:tc>
          <w:p/>
        </w:tc>
      </w:tr>
      <w:tr>
        <w:tc>
          <w:p/>
          <w:p>
            <w:pPr>
              <w:spacing w:after="0" w:before="0" w:lineRule="auto" w:line="276"/>
              <w:jc w:val="left"/>
            </w:pPr>
            <w:r>
              <w:rPr>
                <w:rFonts w:ascii="Times New Roman" w:hAnsi="Times New Roman" w:cs="Times New Roman" w:eastAsia="Times New Roman"/>
                <w:b w:val="false"/>
                <w:sz w:val="26"/>
              </w:rPr>
              <w:t>107/2021/NĐ-CP</w:t>
            </w:r>
          </w:p>
        </w:tc>
        <w:tc>
          <w:p/>
          <w:p>
            <w:pPr>
              <w:spacing w:after="0" w:before="0" w:lineRule="auto" w:line="276"/>
              <w:jc w:val="left"/>
            </w:pPr>
            <w:r>
              <w:rPr>
                <w:rFonts w:ascii="Times New Roman" w:hAnsi="Times New Roman" w:cs="Times New Roman" w:eastAsia="Times New Roman"/>
                <w:b w:val="false"/>
                <w:sz w:val="26"/>
              </w:rPr>
              <w:t>Nghị định số 107/2021/NĐ-CP của Chính phủ: Sửa đổi, bổ sung một số điều của Nghị định số 61/2018/NĐ-CP ngày 23 tháng 4 năm 2018 của Chính phủ về thực hiện cơ chế một cửa, một cửa liên thông trong giải quyết thủ tục hành chính</w:t>
            </w:r>
          </w:p>
        </w:tc>
        <w:tc>
          <w:p/>
          <w:p>
            <w:pPr>
              <w:spacing w:after="0" w:before="0" w:lineRule="auto" w:line="276"/>
              <w:jc w:val="left"/>
            </w:pPr>
            <w:r>
              <w:rPr>
                <w:rFonts w:ascii="Times New Roman" w:hAnsi="Times New Roman" w:cs="Times New Roman" w:eastAsia="Times New Roman"/>
                <w:b w:val="false"/>
                <w:sz w:val="26"/>
              </w:rPr>
              <w:t>06-12-2021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70/2023/NĐ-CP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định số 152/2020/NĐ-CP ngày 30 tháng 12 năm 2020 của Chính phủ quy định về người lao động nước ngoài làm việc tại Việt Nam và tuyển dụng, quản lý người lao động Việt Nam làm việc cho tổ chức, cá nhân nước ngoài tại Việt Nam</w:t>
            </w:r>
          </w:p>
        </w:tc>
        <w:tc>
          <w:p/>
          <w:p>
            <w:pPr>
              <w:spacing w:after="0" w:before="0" w:lineRule="auto" w:line="276"/>
              <w:jc w:val="left"/>
            </w:pPr>
            <w:r>
              <w:rPr>
                <w:rFonts w:ascii="Times New Roman" w:hAnsi="Times New Roman" w:cs="Times New Roman" w:eastAsia="Times New Roman"/>
                <w:b w:val="false"/>
                <w:sz w:val="26"/>
              </w:rPr>
              <w:t>18-09-2023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Nhà thầu có trách nhiệm kê khai số lượng, trình độ, năng lực chuyên môn, kinh nghiệm của người lao động nước ngoài cần tuyển để thực hiện gói thầu tại Việt Nam và đề nghị tuyển người lao động Việt Nam vào các vị trí công việc dự kiến tuyển người lao động nước ngoài với Sở Lao động - Thương binh và Xã hội (nay là Sở Nội vụ) nơi nhà thầu thực hiện gói thầu.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2026-05-22T13:36:38Z</dcterms:created>
  <dc:creator>Apache POI</dc:creator>
</cp:coreProperties>
</file>