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1792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điều chỉnh trong quá trình thực hiện dự án thuộc Chương trình phát triển tài sản trí tuệ giai đoạn 2016-2020 (đối với dự án trung 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Khi có phát sinh thay đổi, điều chỉnh (thay đổi tên, mục tiêu, sản phẩm dự án; kinh phí thực hiện dự án; thay đổi tổ chức chủ trì dự án; thay đổi chủ nhiệm dự án; điều chỉnh nội dung, thời gian thực hiện dự án hoặc điều chỉnh khác đối với dự án), tổ chức chủ trì và chủ nhiệm dự án gửi văn bản đề nghị thay đổi, điều chỉnh và các tài liệu khác có liên quan gửi đến Cục Sở hữu trí tuệ;</w:t>
      </w:r>
    </w:p>
    <w:p>
      <w:pPr>
        <w:spacing w:after="0" w:before="0" w:lineRule="auto" w:line="276"/>
        <w:jc w:val="both"/>
      </w:pPr>
      <w:r>
        <w:rPr>
          <w:rFonts w:ascii="Times New Roman" w:hAnsi="Times New Roman" w:cs="Times New Roman" w:eastAsia="Times New Roman"/>
          <w:b w:val="false"/>
          <w:sz w:val="26"/>
        </w:rPr>
        <w:t>- Bước 2: Cục Sở hữu trí tuệ tiếp nhận hồ sơ, xem xét các quy định có liên quan đến từng trường hợp cụ thể trước khi báo cáo Bộ trưởng Bộ Khoa học và Công nghệ;</w:t>
      </w:r>
    </w:p>
    <w:p>
      <w:pPr>
        <w:spacing w:after="0" w:before="0" w:lineRule="auto" w:line="276"/>
        <w:jc w:val="both"/>
      </w:pPr>
      <w:r>
        <w:rPr>
          <w:rFonts w:ascii="Times New Roman" w:hAnsi="Times New Roman" w:cs="Times New Roman" w:eastAsia="Times New Roman"/>
          <w:b w:val="false"/>
          <w:sz w:val="26"/>
        </w:rPr>
        <w:t>- Bước 3: Cục Sở hữu trí tuệ trình Bộ trưởng Bộ Khoa học và Công nghệ xem xét, quyết định điều chỉnh;</w:t>
      </w:r>
    </w:p>
    <w:p>
      <w:pPr>
        <w:spacing w:after="0" w:before="0" w:lineRule="auto" w:line="276"/>
        <w:jc w:val="both"/>
      </w:pPr>
      <w:r>
        <w:rPr>
          <w:rFonts w:ascii="Times New Roman" w:hAnsi="Times New Roman" w:cs="Times New Roman" w:eastAsia="Times New Roman"/>
          <w:b w:val="false"/>
          <w:sz w:val="26"/>
        </w:rPr>
        <w:t>- Bước 4: Cục Sở hữu trí tuệ gửi văn bản quyết định điều chỉnh hoặc văn bản trả lời tới tổ chức chủ trì dự án nêu rõ lý do trong trường họp không đồng ý điều chỉnh.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Thay đổi thời gian thực hiện dự án: 15 ngày kể từ ngày nhận được văn bản đề nghị của tổ chức chủ trì dự án;
- Các thay đổi, điều chỉnh khác: Trong thời hạn 30 ngày kể từ thời điểm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Thay đổi thời gian thực hiện dự án: 15 ngày kể từ ngày nhận được văn bản đề nghị của tổ chức chủ trì dự án;
- Các thay đổi, điều chỉnh khác: Trong thời hạn 30 ngày kể từ thời điểm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tổ chức chủ trì dự án; biên bản kiểm tra định kỳ hoặc đột xuất (nếu có); ý kiến chuyên gia, biên bản họp hội đồng tư vấn (nếu có); văn bản đồng ý điều chỉnh của Cơ quan đề xuất đặt hàng trong trường hợp thay đổi tên, mục tiêu, sản phẩm của nhiệm vụ;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hoặc công văn gửi đến tổ chức chủ trì và chủ nhiệm dự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04/2015/TT-BKHCN</w:t>
            </w:r>
          </w:p>
        </w:tc>
        <w:tc>
          <w:p/>
          <w:p>
            <w:pPr>
              <w:spacing w:after="0" w:before="0" w:lineRule="auto" w:line="276"/>
              <w:jc w:val="left"/>
            </w:pPr>
            <w:r>
              <w:rPr>
                <w:rFonts w:ascii="Times New Roman" w:hAnsi="Times New Roman" w:cs="Times New Roman" w:eastAsia="Times New Roman"/>
                <w:b w:val="false"/>
                <w:sz w:val="26"/>
              </w:rPr>
              <w:t>Thông tư 04/2015/TT-BKHCN</w:t>
            </w:r>
          </w:p>
        </w:tc>
        <w:tc>
          <w:p/>
          <w:p>
            <w:pPr>
              <w:spacing w:after="0" w:before="0" w:lineRule="auto" w:line="276"/>
              <w:jc w:val="left"/>
            </w:pPr>
            <w:r>
              <w:rPr>
                <w:rFonts w:ascii="Times New Roman" w:hAnsi="Times New Roman" w:cs="Times New Roman" w:eastAsia="Times New Roman"/>
                <w:b w:val="false"/>
                <w:sz w:val="26"/>
              </w:rPr>
              <w:t>11-03-2015</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17/2017/TT-BKHCN</w:t>
            </w:r>
          </w:p>
        </w:tc>
        <w:tc>
          <w:p/>
          <w:p>
            <w:pPr>
              <w:spacing w:after="0" w:before="0" w:lineRule="auto" w:line="276"/>
              <w:jc w:val="left"/>
            </w:pPr>
            <w:r>
              <w:rPr>
                <w:rFonts w:ascii="Times New Roman" w:hAnsi="Times New Roman" w:cs="Times New Roman" w:eastAsia="Times New Roman"/>
                <w:b w:val="false"/>
                <w:sz w:val="26"/>
              </w:rPr>
              <w:t>Thông tư 17/2017/TT-BKHCN</w:t>
            </w:r>
          </w:p>
        </w:tc>
        <w:tc>
          <w:p/>
          <w:p>
            <w:pPr>
              <w:spacing w:after="0" w:before="0" w:lineRule="auto" w:line="276"/>
              <w:jc w:val="left"/>
            </w:pPr>
            <w:r>
              <w:rPr>
                <w:rFonts w:ascii="Times New Roman" w:hAnsi="Times New Roman" w:cs="Times New Roman" w:eastAsia="Times New Roman"/>
                <w:b w:val="false"/>
                <w:sz w:val="26"/>
              </w:rPr>
              <w:t>29-12-2017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chỉnh tên, mục tiêu, sản phẩm của dự án: Chỉ thực hiện đối với dự án thực hiện theo phương thức khoán chi từng phần.
- Thay đổi tổ chức chủ trì dự án:
+ Có quyết định của cơ quan có thẩm quyền về việc hợp nhất, sáp nhập, chia, tách, chuyển đổi hình thức, giải thể tổ chức chủ trì. Tổ chức chủ trì dự án mới phải đáp ứng các điều kiện quy định tại khoản 1 Điều 11 của Thông tư số 17/2017/TT-BKHCN;
- Thay đổi chủ nhiệm dự án: Việc thay đổi chủ nhiệm dự án được thực hiện trong các trường hợp theo quy định tại Điều 16 của Thông tư số 04/2015/TT-BKHCN. Chủ nhiệm dự án mới phải đáp ứng các điều kiện quy định tại khoản 1 Điều 11 của Thông tư số 17/2017/TT-BKHCN.  
- Điều chỉnh thời gian thực hiện dự án: Tổ chức chủ trì và chủ nhiệm dự án phải báo cáo bằng văn bản, giải trình lý do và kiến nghị về việc thay đổi thời gian thực hiện dự án kèm theo báo cáo tình hình thực hiện dự án đến thời điểm đề nghị điều chỉnh thời gian thực hiện.
- Điều chỉnh khác đối với dự án:
+ Điều chỉnh mua sắm vật tư, nguyên, nhiên vật liệu, sửa chữa, mua sắm tài sản cố định: Chỉ thực hiện đối với dự án thực hiện theo phương thức khoán chi từng phần; Tổ chức chủ trì, chủ nhiệm dự án gửi văn bản giải trình với Bộ Khoa học và Công nghệ về điều chỉnh nội dung không khoán chi trong dự án;
+ Điều chỉnh, bổ sung cá nhân tham gia dự án: Việc thay đổi cá nhân tham gia nghiên cứu phải có sự đồng thuận của người được bổ sung và người được thay thế.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thay đổi, điều chỉnh trong quá trình thực hiện dự án thuộc Chương trình phát triển tài sản trí tuệ giai đoạn 2016-2020 (đối với dự án trung ương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2026-05-26T23:47:57Z</dcterms:created>
  <dc:creator>Apache POI</dc:creator>
</cp:coreProperties>
</file>