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khám bệnh, chữa bệnh nhân đạo đối với bệnh viện thuộc Bộ Y tế, bệnh viện tư nhân hoặc thuốc các Bộ khác (trừ các bệnh viện thuộc Bộ Quốc phòng) và áp dụng đối với trường hợp khi thay đổi hình thức tổ chức, chia tách, hợp nhất, sáp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Cơ sở khám bệnh, chữa bệnh gửi hồ sơ xin cấp giấy phép hoạt động khám bệnh, chữa bệnh nhân đạo về Bộ Y tế;</w:t>
      </w:r>
    </w:p>
    <w:p>
      <w:pPr>
        <w:spacing w:after="0" w:before="0" w:lineRule="auto" w:line="276"/>
        <w:jc w:val="both"/>
      </w:pPr>
      <w:r>
        <w:rPr>
          <w:rFonts w:ascii="Times New Roman" w:hAnsi="Times New Roman" w:cs="Times New Roman" w:eastAsia="Times New Roman"/>
          <w:b w:val="false"/>
          <w:sz w:val="26"/>
        </w:rPr>
        <w:t>Bước 2: Cục Quản lý khám, chữa bệnh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Bước 3: Trong thời hạn 90 ngày kể từ ngày nhận đủ hồ sơ, Cục Quản lý khám, chữa bệnh sẽ xem xét thẩm định hồ sơ  và thẩm định tại cơ sở xin cấp giấy phép hoạt động:</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Cục Quản lý Khám, chữa bệnh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 Trường hợp hồ sơ đã đầy đủ và hợp lệ, Cục Quản lý khám, chữa bệnh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 Trường hợp không cấp giấy phép hoạt động, Bộ Y tế phải có văn bản trả lời và nêu lý do.</w:t>
      </w:r>
    </w:p>
    <w:p>
      <w:pPr>
        <w:spacing w:after="0" w:before="0" w:lineRule="auto" w:line="276"/>
        <w:jc w:val="both"/>
      </w:pPr>
      <w:r>
        <w:rPr>
          <w:rFonts w:ascii="Times New Roman" w:hAnsi="Times New Roman" w:cs="Times New Roman" w:eastAsia="Times New Roman"/>
          <w:b w:val="false"/>
          <w:sz w:val="26"/>
        </w:rPr>
        <w:t>Bước 4: Trả giấy phép hoạt động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theo mẫu quy định tại Phụ lục 13 Thông tư số 41/2011/TT-BYT;</w:t>
            </w:r>
          </w:p>
        </w:tc>
        <w:tc>
          <w:p/>
          <w:p>
            <w:pPr>
              <w:spacing w:after="0" w:before="0" w:lineRule="auto" w:line="276"/>
              <w:jc w:val="left"/>
            </w:pPr>
            <w:r>
              <w:rPr>
                <w:rFonts w:ascii="Times New Roman" w:hAnsi="Times New Roman" w:cs="Times New Roman" w:eastAsia="Times New Roman"/>
                <w:b w:val="false"/>
                <w:sz w:val="26"/>
              </w:rPr>
              <w:t>TT41_2011_TTBYT_Phu luc 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quyết định thành lập đối với cơ sở khám bệnh, chữa bệnh của nhà nước hoặc giấy chứng nhận đăng ký kinh doanh đối với cơ sở khám bệnh, chữa bệnh tư nhân hoặc giấy chứng nhận đầu tư đối với cơ sở khám bệnh, chữa bệnh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của tất cả người hành nghề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người đăng ký hành nghề của cơ sở khám bệnh, chữa bệnh theo mẫu quy định tại Phụ lục 6- Thông tư 41/2011/TT-BYT;</w:t>
            </w:r>
          </w:p>
        </w:tc>
        <w:tc>
          <w:p/>
          <w:p>
            <w:pPr>
              <w:spacing w:after="0" w:before="0" w:lineRule="auto" w:line="276"/>
              <w:jc w:val="left"/>
            </w:pPr>
            <w:r>
              <w:rPr>
                <w:rFonts w:ascii="Times New Roman" w:hAnsi="Times New Roman" w:cs="Times New Roman" w:eastAsia="Times New Roman"/>
                <w:b w:val="false"/>
                <w:sz w:val="26"/>
              </w:rPr>
              <w:t>TT41_2011_TTBYT_Phu luc 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kiến phạm vi hoạt động chuyên môn: Cơ sở khám bệnh, chữa bệnh đề xuất phạm vi hoạt động chuyên môn, danh mục kỹ thuật dự kiến thực hiện trên cơ sở danh mục kỹ thuật chuyên môn do Bộ trưởng Bộ Y tế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hợp đồng vận chuyển người bệnh đối với bệnh viện không có phương tiện vận chuyển cấp cứu;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của cơ sở khám bệnh, chữa bệnh theo mẫu quy định tại Phụ lục 14 Thông tư 41/2011/TT-BYT</w:t>
            </w:r>
          </w:p>
        </w:tc>
        <w:tc>
          <w:p/>
          <w:p>
            <w:pPr>
              <w:spacing w:after="0" w:before="0" w:lineRule="auto" w:line="276"/>
              <w:jc w:val="left"/>
            </w:pPr>
            <w:r>
              <w:rPr>
                <w:rFonts w:ascii="Times New Roman" w:hAnsi="Times New Roman" w:cs="Times New Roman" w:eastAsia="Times New Roman"/>
                <w:b w:val="false"/>
                <w:sz w:val="26"/>
              </w:rPr>
              <w:t>TT41_2011_TTBYT_Phu luc 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nhân sự của người làm việc chuyên môn y tế tại cơ sở nhưng không thuộc diện phải cấp chứng chỉ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cơ sở khám bệnh, chữa bệnh đáp ứng điều kiện về cơ sở vật chất, thiết bị y tế, tổ chức nhân sự phù hợp với phạm vi hoạt động chuyên môn của một trong các hình thức tổ chức quy định tại Mục 1 Chương III - Thông tư 41/2011/TT-BYT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tổ chức và hoạt động  đối với bệnh viện Nhà nước thực hiện theo quy định tại Quyết định số 5571/Q Đ - BYT ngày 29/12/2006 của Bộ trưởng Bộ Y tế ban hành mẫu Điều lệ tổ chức và hoạt động của bệnh viện trực thuộc Bộ Y tế; đối với bệnh viện tư nhân thực hiện theo mẫu quy định tại Phụ lục 15  - Thông tư 41/2011/TT-BYT vàphương án hoạt động ban đầu đối với bệnh viện</w:t>
            </w:r>
          </w:p>
        </w:tc>
        <w:tc>
          <w:p/>
          <w:p>
            <w:pPr>
              <w:spacing w:after="0" w:before="0" w:lineRule="auto" w:line="276"/>
              <w:jc w:val="left"/>
            </w:pPr>
            <w:r>
              <w:rPr>
                <w:rFonts w:ascii="Times New Roman" w:hAnsi="Times New Roman" w:cs="Times New Roman" w:eastAsia="Times New Roman"/>
                <w:b w:val="false"/>
                <w:sz w:val="26"/>
              </w:rPr>
              <w:t>TT41_2011_TTBYT_Phu luc 15N.doc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chứng minh nguồn tài chính ổn định bảo đảm cho hoạt động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Khám, chữa bệnh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11/2008/QH12</w:t>
            </w:r>
          </w:p>
        </w:tc>
        <w:tc>
          <w:p/>
          <w:p>
            <w:pPr>
              <w:spacing w:after="0" w:before="0" w:lineRule="auto" w:line="276"/>
              <w:jc w:val="left"/>
            </w:pPr>
            <w:r>
              <w:rPr>
                <w:rFonts w:ascii="Times New Roman" w:hAnsi="Times New Roman" w:cs="Times New Roman" w:eastAsia="Times New Roman"/>
                <w:b w:val="false"/>
                <w:sz w:val="26"/>
              </w:rPr>
              <w:t>Luật 11/2008/QH12-Hoạt động chữ thập đỏ</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03/2011/NĐ-CP</w:t>
            </w:r>
          </w:p>
        </w:tc>
        <w:tc>
          <w:p/>
          <w:p>
            <w:pPr>
              <w:spacing w:after="0" w:before="0" w:lineRule="auto" w:line="276"/>
              <w:jc w:val="left"/>
            </w:pPr>
            <w:r>
              <w:rPr>
                <w:rFonts w:ascii="Times New Roman" w:hAnsi="Times New Roman" w:cs="Times New Roman" w:eastAsia="Times New Roman"/>
                <w:b w:val="false"/>
                <w:sz w:val="26"/>
              </w:rPr>
              <w:t>Nghị định 03/2011/NĐ-CP-Quy định chi tiết và biện pháp thi hành Luật Hoạt động chữ thập đỏ</w:t>
            </w:r>
          </w:p>
        </w:tc>
        <w:tc>
          <w:p/>
          <w:p>
            <w:pPr>
              <w:spacing w:after="0" w:before="0" w:lineRule="auto" w:line="276"/>
              <w:jc w:val="left"/>
            </w:pPr>
            <w:r>
              <w:rPr>
                <w:rFonts w:ascii="Times New Roman" w:hAnsi="Times New Roman" w:cs="Times New Roman" w:eastAsia="Times New Roman"/>
                <w:b w:val="false"/>
                <w:sz w:val="26"/>
              </w:rPr>
              <w:t>07-01-2011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41/2011/TT-BYT</w:t>
            </w:r>
          </w:p>
        </w:tc>
        <w:tc>
          <w:p/>
          <w:p>
            <w:pPr>
              <w:spacing w:after="0" w:before="0" w:lineRule="auto" w:line="276"/>
              <w:jc w:val="left"/>
            </w:pPr>
            <w:r>
              <w:rPr>
                <w:rFonts w:ascii="Times New Roman" w:hAnsi="Times New Roman" w:cs="Times New Roman" w:eastAsia="Times New Roman"/>
                <w:b w:val="false"/>
                <w:sz w:val="26"/>
              </w:rPr>
              <w:t>Thông tư 41/2011/TT-BYT-Hướng dẫn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14-11-2011</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30/2014/TT-BYT</w:t>
            </w:r>
          </w:p>
        </w:tc>
        <w:tc>
          <w:p/>
          <w:p>
            <w:pPr>
              <w:spacing w:after="0" w:before="0" w:lineRule="auto" w:line="276"/>
              <w:jc w:val="left"/>
            </w:pPr>
            <w:r>
              <w:rPr>
                <w:rFonts w:ascii="Times New Roman" w:hAnsi="Times New Roman" w:cs="Times New Roman" w:eastAsia="Times New Roman"/>
                <w:b w:val="false"/>
                <w:sz w:val="26"/>
              </w:rPr>
              <w:t>Thông tư 30/2014/TT-BYT-Quy định về khám bệnh, chữa bệnh nhân đạo</w:t>
            </w:r>
          </w:p>
        </w:tc>
        <w:tc>
          <w:p/>
          <w:p>
            <w:pPr>
              <w:spacing w:after="0" w:before="0" w:lineRule="auto" w:line="276"/>
              <w:jc w:val="left"/>
            </w:pPr>
            <w:r>
              <w:rPr>
                <w:rFonts w:ascii="Times New Roman" w:hAnsi="Times New Roman" w:cs="Times New Roman" w:eastAsia="Times New Roman"/>
                <w:b w:val="false"/>
                <w:sz w:val="26"/>
              </w:rPr>
              <w:t>28-09-2014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cấp giấy phép hoạt động đối với bệnh viện
1. Quy mô bệnh viện:
a) Bệnh viện đa khoa phải có ít nhất 30 giường bệnh trở lên;
b) Bệnh viện chuyên khoa, bệnh viện y học cổ truyền phải có ít nhất 20 giường bệnh; riêng đối với bệnh viện chuyên khoa mắt sử dụng kỹ thuật cao phải có ít nhất 10 giường bệnh.
2. Cơ sở vật chất:
a) Được thiết kế, xây dựng theo Tiêu chuẩn xây dựng Việt Nam số 365: 2007. Riêng đối với các khoa cấp cứu, khoa điều trị tích cực và chống độc, khoa phẫu thuật, khoa chẩn đoán hình ảnh, khoa xét nghiệm thì việc thiết kế, xây dựng phải thực hiện đúng các quy định tại các Quyết định số 32, 33, 34/2005/QĐ - BYT ngày 31 tháng 10 năm 2005 và số 35/2005/QĐ - BYT ngày 15 tháng 11 năm 2005 của Bộ trưởng Bộ Y tế;
Trường hợp bệnh viện được xây dựng trên địa bàn quận thuộc thành phố trực thuộc trung ương mà không bảo đảm diện tích đất xây dựng theo quy định của Tiêu chuẩn xây dựng Việt Nam số 365:2007 thì có thể được thiết kế, xây dựng theo hình thức nhà hợp khối, cao tầng nhưng phải đáp ứng các điều kiện sau:
- Bố trí các khoa, phòng, hành lang bảo đảm hoạt động chuyên môn theo mô hình tập trung, liên hoàn, khép kín trong phạm vi khuôn viên của bệnh viện; bảo đảm điều kiện vô trùng và các điều kiện vệ sinh môi trường theo quy định của pháp luật;
- Bảo đảm diện tích sàn xây dựng ít nhất là 50 m2/giường bệnh trở lên; chiều rộng mặt trước (mặt tiền) bệnh viện phải đạt ít nhất 10 m. Đối với các bệnh viện đã hoạt động trước ngày 01/01/2012 được phép tiếp tục hoạt động nhưng phải đáp ứng điều kiện quy định về chiều rộng mặt trước của bệnh viện chậm nhất vào ngày 01/01/2016.
b) Bảo đảm các điều kiện về an toàn bức xạ, quản lý chất thải y tế, phòng cháy chữa cháy theo quy định của pháp luật;
c) Bảo đảm có đủ điện, nước và các điều kiện khác để phục vụ chăm sóc người bệnh.
3. Thiết bị y tế:
a) Có đủ thiết bị, dụng cụ y tế phù hợp với phạm vi hoạt động chuyên môn mà bệnh viện đăng ký;
b) Có đủ phương tiện vận chuyển cấp cứu trong và ngoài bệnh viện. Trường hợp không có phương tiện cấp cứu ngoài bệnh viện, bệnh viện phải có hợp đồng với cơ sở có phương tiện cấp cứu ngoài bệnh viện.
4. Tổ chức:
a) Các khoa:
- Có ít nhất 02 trong 04 khoanội, ngoại, sản, nhi đối với bệnh viện đa khoa hoặc một khoa lâm sàng phù hợp đối với bệnh viện chuyên khoa;
- Khoa khám bệnh (gồm có nơi tiếp đón người bệnh, buồng cấp cứu - lưu bệnh, buồng khám, buồng tiểu phẫu);
- Khoa cận lâm sàng: Có ít nhất hai bộ phận xét nghiệm và chẩn đoán hình ảnh. Riêng đối với bệnh viện chuyên khoa mắt nếu không có bộ phận chẩn đoán hình ảnh thì phải có hợp đồng với cơ sở khám bệnh, chữa bệnh có bộ phận chẩn đoán hình ảnh đã được cấp giấy phép hoạt động;
- Khoa dược;
- Các khoa, phòng chuyên môn khác trong bệnh viện phải phù hợp với quy mô, chức năng nhiệm vụ.
b) Có các phòng chức năng về kế hoạch tổng hợp, tổ chức nhân sự, điều dưỡng, tài chính kế toán.
5. Nhân sự:
a) Số lượng nhân viên hành nghề làm việc toàn thời gian (cơ hữu) trong từng khoa phải đạt tỷ lệ ít nhất là 50% trên tổng số nhân viên hành nghề trong khoa;
b) Định mức biên chế, tỷ lệ cơ cấu bộ phận, chuyên môn thực hiện theo quy định tại Khoản 1, 2, 3 và 4 Mục II Thông tư liên tịch số 08/2007/TTLT - BYT - BNV ngày 05 tháng 6 năm 2007 của liên bộ: Bộ Y tế - Bộ Nội vụ hướng dẫn định mức biên chế sự nghiệp trong các cơ sở y tế nhà nước;
c) Người chịu trách nhiệm chuyên môn kỹ thuật của bệnh viện phải đáp ứng các điều kiện sau:
- Là bác sỹ có chứng chỉ hành nghề phù hợp với ít nhất một trong các chuyên khoa mà bệnh viện đăng ký hoạt động;
- Có thời gian khám bệnh, chữa bệnh ít nhất là 54 tháng. Việc phân công, bổ nhiệm người chịu trách nhiệm chuyên môn kỹ thuật của bệnh viện phải được thể hiện bằng văn bản;
- Là người làm việc toàn thời gian tại bệnh viện.
d) Trưởng khoa lâm sàng phải đáp ứng các điều kiện sau:
- Là bác sỹ có chứng chỉ hành nghề phù hợp với chuyên khoa đó;
- Có thời gian khám bệnh, chữa bệnh tại chuyên khoa đó ít nhất là 36 tháng. Việc phân công, bổ nhiệm trưởng khoa phải được thể hiện bằng văn bản;
- Là người làm việc toàn thời gian tại bệnh viện;
đ) Trưởng khoa khác phải đáp ứng các điều kiện sau:
- Tốt nghiệp đại học và có thời gian làm việc tại chuyên khoa đó ít nhất là 36 tháng kể từ ngày được cấp bằng tốt nghiệp đại học đến ngày được phân công, bổ nhiệm làm trưởng khoa. Việc phân công, bổ nhiệm trưởng khoa phải được thể hiện bằng văn bản;
- Là người làm việc toàn thời gian tại bệnh viện;
e) Trưởng khoa dược là người làm việc toàn thời gian tại bệnh viện và phải đáp ứng quy định tại Khoản 1 Điều 7 Thông tư số 22/2011/TT-BYT ngày 10 tháng 6 năm 2011 của Bộ trưởng Bộ Y tếquy định tổ chức và hoạt động của khoa Dược bệnh viện;
g) Phẫu thuật viên phải đáp ứng các điều kiện sau:
- Là bác sỹ chuyên khoa ngoại hoặc bác sỹ đa khoa có chứng nhận đào tạo chuyên khoa ngoại của bệnh viện đa khoa tuyến tỉnh trở lên hoặc trường đại học chuyên ngành y khoa hoặc tại Trung tâm đào tạo và chỉ đạo tuyến thuộc các bệnh viện hạng đặc biệt, hạng 1 trực thuộc Bộ Y tế. Trường hợp được đào tạo ở nước ngoài, phẫu thuật viên phải có chứng nhận chuyên khoa;
- Có văn bản cho phép thực hiện phẫu thuật, can thiệp ngoại khoacủa người đứng đầu bệnh viện theo đề nghị của người chịu trách nhiệm chuyên môn kỹ thuật của bệnh viện;
h) Ngoài các đối tượng quy định tại Điểm c, d, đ, e và g Khoản này, các đối tượng khác làm việc trong bệnh viện nếu có thực hiện việc khám bệnh, chữa bệnh thì phải có chứng chỉ hành nghề và chỉ được thực hiện việc khám bệnh, chữa bệnh trong phạm vi công việc được phân công. Việc phân công phải được thể hiện bằng văn bản và phải phù hợp với phạm vi hoạt động chuyên môn được ghi trong chứng chỉ hành nghề của người đó.
6. Phạm vi hoạt động chuyên môn:
Thực hiện các kỹ thuật chuyên môn theo danh mục được Bộ trưởng Bộ Y tế hoặc Giám đốc Sở Y tế tỉnh phê duyệt.
7. Biển hiệu của cơ sở khám bệnh, chữa bệnh phải ghi rõ là cơ sở khám bệnh, chữa bệnh nhân đạo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2026-05-18T16:33:47Z</dcterms:created>
  <dc:creator>Apache POI</dc:creator>
</cp:coreProperties>
</file>