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sức khỏe định kỳ</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cá nhân, đơn vị có nhu cầu khám sức khỏe định kỳ đến các cơ sở khám sức khỏe để tổ chức khám sức khỏe.</w:t>
      </w:r>
    </w:p>
    <w:p>
      <w:pPr>
        <w:spacing w:after="0" w:before="0" w:lineRule="auto" w:line="276"/>
        <w:jc w:val="both"/>
      </w:pPr>
      <w:r>
        <w:rPr>
          <w:rFonts w:ascii="Times New Roman" w:hAnsi="Times New Roman" w:cs="Times New Roman" w:eastAsia="Times New Roman"/>
          <w:b w:val="false"/>
          <w:sz w:val="26"/>
        </w:rPr>
        <w:t>Khi cơ sở KSK triển khai khám chữa bệnh định kỳ theo hợp đồng, các cơ sở đã ký hợp đồng cần xuất trình Hồ sơ sức khỏe (Đối với khám sức khỏe tập trung). Đối với trường hợp khám sức khỏe đơn lẻ: Đối tượng khám sức khỏe cần xuất trình thêm giấy giới thiệu của cơ quan, tổ chức đề nghị khám sức khoẻ định kỳ.</w:t>
      </w:r>
    </w:p>
    <w:p>
      <w:pPr>
        <w:spacing w:after="0" w:before="0" w:lineRule="auto" w:line="276"/>
        <w:jc w:val="both"/>
      </w:pPr>
      <w:r>
        <w:rPr>
          <w:rFonts w:ascii="Times New Roman" w:hAnsi="Times New Roman" w:cs="Times New Roman" w:eastAsia="Times New Roman"/>
          <w:b w:val="false"/>
          <w:sz w:val="26"/>
        </w:rPr>
        <w:t>Cơ sở khám sức khỏe căn cứ vào Hợp đồng khám sức khỏe định kỳ và đối với các nghề, công việc có tiêu chuẩn sức khỏe riêng, thì cơ sở khám sức khỏe phải thực hiện các quy định của tiêu chuẩn đó hiện hành để được thực hiện khám sức khỏe.</w:t>
      </w:r>
    </w:p>
    <w:p>
      <w:pPr>
        <w:spacing w:after="0" w:before="0" w:lineRule="auto" w:line="276"/>
        <w:jc w:val="both"/>
      </w:pPr>
      <w:r>
        <w:rPr>
          <w:rFonts w:ascii="Times New Roman" w:hAnsi="Times New Roman" w:cs="Times New Roman" w:eastAsia="Times New Roman"/>
          <w:b w:val="false"/>
          <w:sz w:val="26"/>
        </w:rPr>
        <w:t>Kết luận và trả giấy khám sức khoẻ.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thỏa thuận trong hợp đồng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khám sức khỏe định kỳ theo mẫu quy định Phụ lục 3 ban hành kèm Thông tư số 14/2013/TT-BYT ngày 06 tháng 5 năm 2013.</w:t>
            </w:r>
          </w:p>
        </w:tc>
        <w:tc>
          <w:p/>
          <w:p>
            <w:pPr>
              <w:spacing w:after="0" w:before="0" w:lineRule="auto" w:line="276"/>
              <w:jc w:val="left"/>
            </w:pPr>
            <w:r>
              <w:rPr>
                <w:rFonts w:ascii="Times New Roman" w:hAnsi="Times New Roman" w:cs="Times New Roman" w:eastAsia="Times New Roman"/>
                <w:b w:val="false"/>
                <w:sz w:val="26"/>
              </w:rPr>
              <w:t>phụ lục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của cơ quan, tổ chức nơi người đó đang làm việc đối với trường hợp KSK định kỳ đơn lẻ hoặc có tên trong danh sách KSK định kỳ do cơ quan, tổ chức nơi người đó đang làm việc xác nhận để thực hiện KSK định kỳ theo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khám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14/2013/TT-BYT</w:t>
            </w:r>
          </w:p>
        </w:tc>
        <w:tc>
          <w:p/>
          <w:p>
            <w:pPr>
              <w:spacing w:after="0" w:before="0" w:lineRule="auto" w:line="276"/>
              <w:jc w:val="left"/>
            </w:pPr>
            <w:r>
              <w:rPr>
                <w:rFonts w:ascii="Times New Roman" w:hAnsi="Times New Roman" w:cs="Times New Roman" w:eastAsia="Times New Roman"/>
                <w:b w:val="false"/>
                <w:sz w:val="26"/>
              </w:rPr>
              <w:t>Thông tư 14/2013/TT-BYT Hướng dẫn khám sức khỏe</w:t>
            </w:r>
          </w:p>
        </w:tc>
        <w:tc>
          <w:p/>
          <w:p>
            <w:pPr>
              <w:spacing w:after="0" w:before="0" w:lineRule="auto" w:line="276"/>
              <w:jc w:val="left"/>
            </w:pPr>
            <w:r>
              <w:rPr>
                <w:rFonts w:ascii="Times New Roman" w:hAnsi="Times New Roman" w:cs="Times New Roman" w:eastAsia="Times New Roman"/>
                <w:b w:val="false"/>
                <w:sz w:val="26"/>
              </w:rPr>
              <w:t>06-05-2013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2026-05-22T13:32:56Z</dcterms:created>
  <dc:creator>Apache POI</dc:creator>
</cp:coreProperties>
</file>