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1.005010.000.00.00.H26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951/QĐ-TTPVHCC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Chấm dứt hoạt động chi nhánh, văn phòng đại diện, địa điểm kinh doanh của hợp tác xã, liên hiệp hợp tác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qua mạng điện tử sử dụng chữ ký số công cộng (trong trường hợp được ứng dụng):</w:t>
      </w:r>
    </w:p>
    <w:p>
      <w:pPr>
        <w:spacing w:after="0" w:before="0" w:lineRule="auto" w:line="276"/>
        <w:jc w:val="both"/>
      </w:pPr>
      <w:r>
        <w:rPr>
          <w:rFonts w:ascii="Times New Roman" w:hAnsi="Times New Roman" w:cs="Times New Roman" w:eastAsia="Times New Roman"/>
          <w:b w:val="false"/>
          <w:sz w:val="26"/>
        </w:rPr>
        <w:t>Bước 2: Tiếp nhận hồ sơ
- Hồ sơ thông báo về việc chấm dứt hoạt động chi nhánh, văn phòng đại diện, địa điểm kinh doanh của hợp tác xã qua mạng điện tử hợp lệ khi đảm bảo đầy đủ các yêu cầu sau: (1) Có đầy đủ các giấy tờ và nội dung các giấy tờ đó được kê khai đầy đủ theo quy định như hồ sơ bằng bản giấy và được chuyển sang dạng văn bản điện tử. Tên văn bản điện tử phải được đặt tương ứng với tên loại giấy tờ trong hồ sơ bằng bản giấy; (2) Các thông tin được nhập đầy đủ và chính xác theo thông tin trong các văn bản điện tử; (3) Hồ sơ thông báo về việc chấm dứt hoạt động của hợp tác xã, chi nhánh, văn phòng đại diện, địa điểm kinh doanh của hợp tác xã qua mạng điện tử phải được xác thực bằng chữ ký số công cộng của một trong các chủ thể sau đây: (3a) Cá nhân có thẩm quyền ký văn bản thông báo theo quy định; (3b) Người được cá nhân có thẩm quyền ký văn bản thông báo theo quy định ủy quyền thực hiện thủ tục liên quan đến thông báo về việc chấm dứt hoạt động chi nhánh, văn phòng đại diện, địa điểm kinh doanh của hợp tác xã. 
- Trường hợp được ủy quyền thì phải có giấy tờ sau: (1) bản sao hợp lệ một trong các giấy tờ chứng thực cá nhân (Thẻ căn cước công dân hoặc Chứng minh nhân dân hoặc Hộ chiếu Việt Nam còn hiệu lực đối với công dân Việt Nam; Hộ chiếu nước ngoài hoặc giấy tờ có giá trị thay thế hộ chiếu nước ngoài còn hiệu lực đối với người nước ngoài); (2) Bản sao hợp lệ hợp đồng cung cấp dịch vụ với tổ chức làm dịch vụ nộp hồ sơ, nhận kết quả và giấy giới thiệu của tổ chức đó cho cá nhân thực hiện nộp hồ sơ, nhận kết quả; hoặc Văn bản ủy quyền cho cá nhân thực hiện nộp hồ sơ, nhận kết quả theo quy định của pháp luật. Văn bản này không bắt buộc phải công chứng, chứng thực.
- Sau khi hoàn thành việc gửi hồ sơ thông báo về việc chấm dứt hoạt động chi nhánh, văn phòng đại diện, địa điểm kinh doanh của hợp tác xã  qua mạng điện tử, cá nhân có thẩm quyền hoặc người được cá nhân có thẩm quyền ký ủy quyền sẽ nhận được giấy biên nhận hồ sơ qua mạng điện tử. Phòng Tài chính - Kế hoạch thực hiện xác nhận về việc chấm dứt hoạt động chi nhánh, văn phòng đại diện, địa điểm kinh doanh của hợp tác xã.
</w:t>
      </w:r>
    </w:p>
    <w:p>
      <w:pPr>
        <w:spacing w:after="0" w:before="0" w:lineRule="auto" w:line="276"/>
        <w:jc w:val="both"/>
      </w:pPr>
      <w:r>
        <w:rPr>
          <w:rFonts w:ascii="Times New Roman" w:hAnsi="Times New Roman" w:cs="Times New Roman" w:eastAsia="Times New Roman"/>
          <w:b w:val="false"/>
          <w:sz w:val="26"/>
        </w:rPr>
        <w:t>Bước 1: Nộp hồ sơ
- Người có thẩm quyền hoặc người đại diện theo ủy quyền kê khai thông tin, tải văn bản điện tử, ký số vào Thông báo về việc chấm dứt hoạt động chi nhánh, văn phòng đại diện, địa điểm kinh doanh của hợp tác xã điện tử theo quy trình trên Hệ thống thông tin quốc gia về đăng ký hợp tác xã.
- Trường hợp người được cá nhân có thẩm quyền ủy quyền thực hiện thủ tục thông báo về việc chấm dứt hoạt động chi nhánh, văn phòng đại diện, địa điểm kinh doanh của hợp tác xã thì người được ủy quyền kê khai thông tin, tải văn bản điện tử, ký số vào Thông báo về việc chấm dứt hoạt động chi nhánh, văn phòng đại diện, địa điểm kinh doanh của hợp tác xã điện tử theo quy trình trên Hệ thống thông tin quốc gia về đăng ký hợp tác xã.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Bước 1: Nộp hồ sơ
- Trường hợp chấm dứt hoạt động chi nhánh, văn phòng đại diện, địa điểm kinh doanh ở trong nước, hợp tác xã gửi 01 bộ hồ sơ thông báo đến Phòng Tài chính - Kế hoạch, nơi đã cấp giấy chứng nhận đăng ký chi nhánh, văn phòng đại diện, địa điểm kinh doanh cho hợp tác xã.
- Trường hợp chấm dứt hoạt động chi nhánh, văn phòng đại diện, địa điểm kinh doanh ở nước ngoài thì hợp tác xã phải thực hiện theo quy định pháp luật của nước đó. Trong thời hạn 15 ngày làm việc kể từ ngày được cơ quan có thẩm quyền của nước ngoài xác nhận việc chấm dứt hoạt động của chi nhánh, văn phòng đại diện, địa điểm kinh doanh, hợp tác xã phải thông báo bằng văn bản cho Phòng Tài chính - Kế hoạch đã cấp giấy chứng nhận đăng ký hợp tác xã, nơi hợp tác xã đặt trụ sở chính để bổ sung vào hồ sơ đăng ký hợp tác xã. Kèm theo thông báo là bản sao giấy xác nhận về việc chấm dứt hoạt động chi nhánh, văn phòng đại diện, địa điểm kinh doanh do cơ quan có thẩm quyền của nước ngoài cấp.
</w:t>
      </w:r>
    </w:p>
    <w:p>
      <w:pPr>
        <w:spacing w:after="0" w:before="0" w:lineRule="auto" w:line="276"/>
        <w:jc w:val="both"/>
      </w:pPr>
      <w:r>
        <w:rPr>
          <w:rFonts w:ascii="Times New Roman" w:hAnsi="Times New Roman" w:cs="Times New Roman" w:eastAsia="Times New Roman"/>
          <w:b w:val="false"/>
          <w:sz w:val="26"/>
        </w:rPr>
        <w:t>Bước 1: Nộp hồ sơ
- Trường hợp chấm dứt hoạt động chi nhánh, văn phòng đại diện, địa điểm kinh doanh ở trong nước, hợp tác xã gửi 01 bộ hồ sơ thông báo đến Phòng Tài chính - Kế hoạch, nơi đã cấp giấy chứng nhận đăng ký chi nhánh, văn phòng đại diện, địa điểm kinh doanh cho hợp tác xã.
- Trường hợp chấm dứt hoạt động chi nhánh, văn phòng đại diện, địa điểm kinh doanh ở nước ngoài thì hợp tác xã phải thực hiện theo quy định pháp luật của nước đó. Trong thời hạn 15 ngày làm việc kể từ ngày được cơ quan có thẩm quyền của nước ngoài xác nhận việc chấm dứt hoạt động của chi nhánh, văn phòng đại diện, địa điểm kinh doanh, hợp tác xã phải thông báo bằng văn bản cho Phòng Tài chính - Kế hoạch đã cấp giấy chứng nhận đăng ký hợp tác xã, nơi hợp tác xã đặt trụ sở chính để bổ sung vào hồ sơ đăng ký hợp tác xã. Kèm theo thông báo là bản sao giấy xác nhận về việc chấm dứt hoạt động chi nhánh, văn phòng đại diện, địa điểm kinh doanh do cơ quan có thẩm quyền của nước ngoài cấp.
</w:t>
      </w:r>
    </w:p>
    <w:p>
      <w:pPr>
        <w:spacing w:after="0" w:before="0" w:lineRule="auto" w:line="276"/>
        <w:jc w:val="both"/>
      </w:pPr>
      <w:r>
        <w:rPr>
          <w:rFonts w:ascii="Times New Roman" w:hAnsi="Times New Roman" w:cs="Times New Roman" w:eastAsia="Times New Roman"/>
          <w:b w:val="false"/>
          <w:sz w:val="26"/>
        </w:rPr>
        <w:t>Bước 3: Xử lý hồ sơ
- Trường hợp chi nhánh, văn phòng đại diện, địa điểm kinh doanh đặt tại huyện hoặc tỉnh, thành phố khác với nơi hợp tác xã đặt trụ sở chính thì trong thời hạn 05 ngày làm việc kể từ ngày nhận được giấy xác nhận về việc chấm dứt hoạt động của chi nhánh, văn phòng đại diện, địa điểm kinh doanh, hợp tác xã phải thông báo bằng văn bản cho Phòng Tài chính - Kế hoạch đã cấp giấy chứng nhận đăng ký hợp tác xã, nơi hợp tác xã đặt trụ sở chính để bổ sung vào hồ sơ đăng ký hợp tác xã. Kèm theo thông báo là bản sao giấy xác nhận về việc chấm dứt hoạt động chi nhánh, văn phòng đại diện, địa điểm kinh doanh của hợp tác xã.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Lệ phí : 0 </w:t>
              <w:br/>
              <w:t>File đính kèm: 23.2018_NQ-HDND.pdf</w:t>
            </w:r>
          </w:p>
        </w:tc>
        <w:tc>
          <w:p/>
          <w:p>
            <w:pPr>
              <w:spacing w:after="0" w:before="0" w:lineRule="auto" w:line="276"/>
              <w:jc w:val="left"/>
            </w:pPr>
            <w:r>
              <w:rPr>
                <w:rFonts w:ascii="Times New Roman" w:hAnsi="Times New Roman" w:cs="Times New Roman" w:eastAsia="Times New Roman"/>
                <w:b w:val="false"/>
                <w:sz w:val="26"/>
              </w:rPr>
              <w:t xml:space="preserve"> 03 ngày làm việc, kể từ khi nhận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Lệ phí : 0 </w:t>
            </w:r>
          </w:p>
        </w:tc>
        <w:tc>
          <w:p/>
          <w:p>
            <w:pPr>
              <w:spacing w:after="0" w:before="0" w:lineRule="auto" w:line="276"/>
              <w:jc w:val="left"/>
            </w:pPr>
            <w:r>
              <w:rPr>
                <w:rFonts w:ascii="Times New Roman" w:hAnsi="Times New Roman" w:cs="Times New Roman" w:eastAsia="Times New Roman"/>
                <w:b w:val="false"/>
                <w:sz w:val="26"/>
              </w:rPr>
              <w:t xml:space="preserve"> 03 ngày làm việc, kể từ khi nhận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Lệ phí : 0 </w:t>
            </w:r>
          </w:p>
        </w:tc>
        <w:tc>
          <w:p/>
          <w:p>
            <w:pPr>
              <w:spacing w:after="0" w:before="0" w:lineRule="auto" w:line="276"/>
              <w:jc w:val="left"/>
            </w:pPr>
            <w:r>
              <w:rPr>
                <w:rFonts w:ascii="Times New Roman" w:hAnsi="Times New Roman" w:cs="Times New Roman" w:eastAsia="Times New Roman"/>
                <w:b w:val="false"/>
                <w:sz w:val="26"/>
              </w:rPr>
              <w:t xml:space="preserve"> 03 ngày làm việc, kể từ khi nhận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trên môi trường điện tử: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hợp tác xã, liên hiệp hợp tác xã thì việc ủy quyền thực hiện theo quy định tại điểm b khoản 2 Điều 12 Nghị định số 92/2024/NĐ-CP về đăng ký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về việc chấm dứt hoạt động chi nhánh, văn phòng đại diện, địa điểm kinh doanh;</w:t>
            </w:r>
          </w:p>
        </w:tc>
        <w:tc>
          <w:p/>
          <w:p>
            <w:pPr>
              <w:spacing w:after="0" w:before="0" w:lineRule="auto" w:line="276"/>
              <w:jc w:val="left"/>
            </w:pPr>
            <w:r>
              <w:rPr>
                <w:rFonts w:ascii="Times New Roman" w:hAnsi="Times New Roman" w:cs="Times New Roman" w:eastAsia="Times New Roman"/>
                <w:b w:val="false"/>
                <w:sz w:val="26"/>
              </w:rPr>
              <w:t>MausoII.10.docx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hoặc bản chính biên bản họp Hội đồng quản trị (đối với tổ chức quản trị đầy đủ) hoặc Đại hội thành viên (đối với tổ chức quản trị rút gọn) về việc chấm dứt hoạt động chi nhánh, văn phòng đại diện đối với trường hợp chấm dứt hoạt động chi nhánh, văn phòng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Bản sao hoặc bản chính quyết định của Hội đồng quản trị (đối với tổ chức quản trị đầy đủ) hoặc nghị quyết của Đại hội thành viên (đối với tổ chức quản trị rút gọn) về việc chấm dứt hoạt động chi nhánh, văn phòng đại diện đối với trường hợp chấm dứt hoạt động chi nhánh, văn phòng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Chi nhánh Trung tâm phục vụ hành chính số 1 - 258 Võ Chí Công, phường Xuân La, quận Tây Hồ, Hà Nội và Điểm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Cơ quan đăng ký kinh doanh cấp xã cập nhật thông tin vào Cơ sở dữ liệu về đăng ký hợp tác xã, Thông báo về việc chấm dứt hoạt động chi nhánh, văn phòng đại diện, địa điểm kinh doanh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250/2016/TT-BTC</w:t>
            </w:r>
          </w:p>
        </w:tc>
        <w:tc>
          <w:p/>
          <w:p>
            <w:pPr>
              <w:spacing w:after="0" w:before="0" w:lineRule="auto" w:line="276"/>
              <w:jc w:val="left"/>
            </w:pPr>
            <w:r>
              <w:rPr>
                <w:rFonts w:ascii="Times New Roman" w:hAnsi="Times New Roman" w:cs="Times New Roman" w:eastAsia="Times New Roman"/>
                <w:b w:val="false"/>
                <w:sz w:val="26"/>
              </w:rPr>
              <w:t>Hướng dẫn về phí và lệ phí thuộc thẩm quyền quyết định của Hội đồng nhân dân tỉnh, thành phố trực thuộc Trung ương</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23/2012/QH13	</w:t>
            </w:r>
          </w:p>
        </w:tc>
        <w:tc>
          <w:p/>
          <w:p>
            <w:pPr>
              <w:spacing w:after="0" w:before="0" w:lineRule="auto" w:line="276"/>
              <w:jc w:val="left"/>
            </w:pPr>
            <w:r>
              <w:rPr>
                <w:rFonts w:ascii="Times New Roman" w:hAnsi="Times New Roman" w:cs="Times New Roman" w:eastAsia="Times New Roman"/>
                <w:b w:val="false"/>
                <w:sz w:val="26"/>
              </w:rPr>
              <w:t>Hợp tác xã</w:t>
            </w:r>
          </w:p>
        </w:tc>
        <w:tc>
          <w:p/>
          <w:p>
            <w:pPr>
              <w:spacing w:after="0" w:before="0" w:lineRule="auto" w:line="276"/>
              <w:jc w:val="left"/>
            </w:pPr>
            <w:r>
              <w:rPr>
                <w:rFonts w:ascii="Times New Roman" w:hAnsi="Times New Roman" w:cs="Times New Roman" w:eastAsia="Times New Roman"/>
                <w:b w:val="false"/>
                <w:sz w:val="26"/>
              </w:rPr>
              <w:t>20-11-2012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193/2013/NĐ-CP	</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Hợp tác xã</w:t>
            </w:r>
          </w:p>
        </w:tc>
        <w:tc>
          <w:p/>
          <w:p>
            <w:pPr>
              <w:spacing w:after="0" w:before="0" w:lineRule="auto" w:line="276"/>
              <w:jc w:val="left"/>
            </w:pPr>
            <w:r>
              <w:rPr>
                <w:rFonts w:ascii="Times New Roman" w:hAnsi="Times New Roman" w:cs="Times New Roman" w:eastAsia="Times New Roman"/>
                <w:b w:val="false"/>
                <w:sz w:val="26"/>
              </w:rPr>
              <w:t>21-11-2013</w:t>
            </w:r>
          </w:p>
        </w:tc>
        <w:tc>
          <w:p/>
        </w:tc>
      </w:tr>
      <w:tr>
        <w:tc>
          <w:p/>
          <w:p>
            <w:pPr>
              <w:spacing w:after="0" w:before="0" w:lineRule="auto" w:line="276"/>
              <w:jc w:val="left"/>
            </w:pPr>
            <w:r>
              <w:rPr>
                <w:rFonts w:ascii="Times New Roman" w:hAnsi="Times New Roman" w:cs="Times New Roman" w:eastAsia="Times New Roman"/>
                <w:b w:val="false"/>
                <w:sz w:val="26"/>
              </w:rPr>
              <w:t>03/2014/TT-BKHĐT	</w:t>
            </w:r>
          </w:p>
        </w:tc>
        <w:tc>
          <w:p/>
          <w:p>
            <w:pPr>
              <w:spacing w:after="0" w:before="0" w:lineRule="auto" w:line="276"/>
              <w:jc w:val="left"/>
            </w:pPr>
            <w:r>
              <w:rPr>
                <w:rFonts w:ascii="Times New Roman" w:hAnsi="Times New Roman" w:cs="Times New Roman" w:eastAsia="Times New Roman"/>
                <w:b w:val="false"/>
                <w:sz w:val="26"/>
              </w:rPr>
              <w:t>Hướng dẫn về đăng ký hợp tác xã và chế độ báo cáo tình hình hoạt động của hợp tác xã</w:t>
            </w:r>
          </w:p>
        </w:tc>
        <w:tc>
          <w:p/>
          <w:p>
            <w:pPr>
              <w:spacing w:after="0" w:before="0" w:lineRule="auto" w:line="276"/>
              <w:jc w:val="left"/>
            </w:pPr>
            <w:r>
              <w:rPr>
                <w:rFonts w:ascii="Times New Roman" w:hAnsi="Times New Roman" w:cs="Times New Roman" w:eastAsia="Times New Roman"/>
                <w:b w:val="false"/>
                <w:sz w:val="26"/>
              </w:rPr>
              <w:t>26-05-2014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07/2019/TT-BKHĐT	</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03/2014/TT-BKHĐT ngày 26/5/2014 của Bộ Kế hoạch và Đầu tư hướng dẫn về đăng ký hợp tác xã và chế độ báo cáo tình hình hoạt động của hợp tác xã</w:t>
            </w:r>
          </w:p>
        </w:tc>
        <w:tc>
          <w:p/>
          <w:p>
            <w:pPr>
              <w:spacing w:after="0" w:before="0" w:lineRule="auto" w:line="276"/>
              <w:jc w:val="left"/>
            </w:pPr>
            <w:r>
              <w:rPr>
                <w:rFonts w:ascii="Times New Roman" w:hAnsi="Times New Roman" w:cs="Times New Roman" w:eastAsia="Times New Roman"/>
                <w:b w:val="false"/>
                <w:sz w:val="26"/>
              </w:rPr>
              <w:t>08-04-2019</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20/2016/NQ-HĐND</w:t>
            </w:r>
          </w:p>
        </w:tc>
        <w:tc>
          <w:p/>
          <w:p>
            <w:pPr>
              <w:spacing w:after="0" w:before="0" w:lineRule="auto" w:line="276"/>
              <w:jc w:val="left"/>
            </w:pPr>
            <w:r>
              <w:rPr>
                <w:rFonts w:ascii="Times New Roman" w:hAnsi="Times New Roman" w:cs="Times New Roman" w:eastAsia="Times New Roman"/>
                <w:b w:val="false"/>
                <w:sz w:val="26"/>
              </w:rPr>
              <w:t>Nghị quyết số 20/2016/NQ-HĐND</w:t>
            </w:r>
          </w:p>
        </w:tc>
        <w:tc>
          <w:p/>
          <w:p>
            <w:pPr>
              <w:spacing w:after="0" w:before="0" w:lineRule="auto" w:line="276"/>
              <w:jc w:val="left"/>
            </w:pPr>
            <w:r>
              <w:rPr>
                <w:rFonts w:ascii="Times New Roman" w:hAnsi="Times New Roman" w:cs="Times New Roman" w:eastAsia="Times New Roman"/>
                <w:b w:val="false"/>
                <w:sz w:val="26"/>
              </w:rPr>
              <w:t>06-12-2016</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Trước khi thông báo chấm dứt hoạt động chi nhánh, văn phòng đại diện, địa điểm kinh doanh thì hợp tác xã, liên hiệp hợp tác xã, chi nhánh, văn phòng đại diện phải đăng ký với cơ quan thuế để hoàn thành nghĩa vụ nộp thuế theo quy định của pháp luật về thuế.
*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Giấy xác nhận về việc chấm dứt hoạt động chi nhánh, văn phòng đại diện, địa điểm kinh doanh của hợp tác xã.</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2026-04-30T02:07:15Z</dcterms:created>
  <dc:creator>Apache POI</dc:creator>
</cp:coreProperties>
</file>