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1.002696.000.00.00.H32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công tác nghiệm thu đưa công trình vào sử dụng đối với các công trình trên địa bàn thuộc trách nhiệm quản lý của Sở Xây dựng, Sở quản lý công trình xây dựng chuyên ngành, trừ các công trình thuộc thẩm quyền kiểm tra của Hội đồng nghiệm thu Nhà nước các công trình xây dựng, cơ quan chuyên môn về xây dựng trực thuộc Bộ Xây dựng và Bộ quản lý công trình xây dựng chuyên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Tối thiểu trước 10 ngày so với ngày chủ đầu tư dự kiến tổ chức nghiệm thu đưa công trình, hạng mục công trình vào sử dụng, chủ đầu tư phải gửi báo cáo hoàn thành thi công xây dựng hạng mục công trình, công trình xây dựng cho Sở Xây dựng, Sở quản lý công trình xây dựng chuyên ngành;</w:t>
      </w:r>
    </w:p>
    <w:p>
      <w:pPr>
        <w:spacing w:after="0" w:before="0" w:lineRule="auto" w:line="276"/>
        <w:jc w:val="both"/>
      </w:pPr>
      <w:r>
        <w:rPr>
          <w:rFonts w:ascii="Times New Roman" w:hAnsi="Times New Roman" w:cs="Times New Roman" w:eastAsia="Times New Roman"/>
          <w:b w:val="false"/>
          <w:sz w:val="26"/>
        </w:rPr>
        <w:t>Sau khi nhận đủ hồ sơ hợp lệ, Sở Xây dựng, Sở quản lý công trình xây dựng chuyên ngành thông báo bằng văn bản về kế hoạch kiểm tra;</w:t>
      </w:r>
    </w:p>
    <w:p>
      <w:pPr>
        <w:spacing w:after="0" w:before="0" w:lineRule="auto" w:line="276"/>
        <w:jc w:val="both"/>
      </w:pPr>
      <w:r>
        <w:rPr>
          <w:rFonts w:ascii="Times New Roman" w:hAnsi="Times New Roman" w:cs="Times New Roman" w:eastAsia="Times New Roman"/>
          <w:b w:val="false"/>
          <w:sz w:val="26"/>
        </w:rPr>
        <w:t>- Sở Xây dựng, Sở quản lý công trình xây dựng chuyên ngành tổ chức kiểm tra theo kế hoạch và ra văn bản chấp thuận kết quả nghiệm thu của chủ đầu tư trong thời hạn 10 ngày kể từ khi kết thúc kiểm tra. Trong trường hợp chủ đầu tư phải thực hiện giải trình, khắc phục các tồn tại (nếu có), thí nghiệm đối chứng, thử tải, kiểm định chất lượng bộ phận, hạng mục, công trình theo yêu cầu của cơ quan chuyên môn về xây dựng thì thời hạn nêu trên được tính từ khi chủ đầu tư hoàn thành các yêu cầu này.</w:t>
      </w:r>
    </w:p>
    <w:p>
      <w:pPr>
        <w:shd w:val="clear" w:color="auto" w:fill="F2F6F9"/>
        <w:spacing w:after="0" w:before="120" w:lineRule="auto" w:line="276"/>
        <w:jc w:val="both"/>
      </w:pPr>
      <w:r>
        <w:rPr>
          <w:rFonts w:ascii="Times New Roman" w:hAnsi="Times New Roman" w:cs="Times New Roman" w:eastAsia="Times New Roman"/>
          <w:b w:val="true"/>
          <w:sz w:val="26"/>
        </w:rPr>
        <w:t>Sở Xây dựng, Sở quản lý công trình xây dựng chuyên ngành tổ chức kiểm tra theo kế hoạch và ra văn bản chấp thuận kết quả nghiệm thu của chủ đầu tư trong thời hạn 10 ngày kể từ khi kết thúc kiểm tra</w:t>
      </w:r>
    </w:p>
    <w:p>
      <w:pPr>
        <w:spacing w:after="0" w:before="0" w:lineRule="auto" w:line="276"/>
        <w:jc w:val="both"/>
      </w:pPr>
      <w:r>
        <w:rPr>
          <w:rFonts w:ascii="Times New Roman" w:hAnsi="Times New Roman" w:cs="Times New Roman" w:eastAsia="Times New Roman"/>
          <w:b w:val="false"/>
          <w:sz w:val="26"/>
        </w:rPr>
        <w:t>hắc phục các tồn tại (nếu có), thí nghiệm đối chứng, thử tải, kiểm định chất lượng bộ phận, hạng mục, công trình theo yêu cầu của cơ quan chuyên môn về xây dựng thì thời hạn nêu trên được tính từ khi chủ đầu tư hoàn thành các yêu cầu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10 ngày kể từ khi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10 ngày kể từ khi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hoàn thành thi công xây dựng hạng mục công trình,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 Sở quản lý công trình xây dựng chuyên ngành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kết quả nghiệm thu đưa công trình vào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Nghị định 46/2015/NĐ-CP</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2026-05-26T22:53:12Z</dcterms:created>
  <dc:creator>Apache POI</dc:creator>
</cp:coreProperties>
</file>