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2.001116.000.00.00.H32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và cấp thẻ giám định viên tư pháp xây dựng ở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có nhu cầu là giám định viên tư pháp xây dựng cung cấp thông tin theo Phụ lục 1 kèm theo Thông tư số 04/2014/TT-BXD và các hồ sơ có liên quan theo quy định tại Điều 8 Luật Giám định tư pháp gửi về Ủy ban nhân dân cấp tỉnh (Sở Xây dựng là đơn vị được giao quản lý lĩnh vực giám định tư pháp xây dựng tại địa phương);</w:t>
      </w:r>
    </w:p>
    <w:p>
      <w:pPr>
        <w:spacing w:after="0" w:before="0" w:lineRule="auto" w:line="276"/>
        <w:jc w:val="both"/>
      </w:pPr>
      <w:r>
        <w:rPr>
          <w:rFonts w:ascii="Times New Roman" w:hAnsi="Times New Roman" w:cs="Times New Roman" w:eastAsia="Times New Roman"/>
          <w:b w:val="false"/>
          <w:sz w:val="26"/>
        </w:rPr>
        <w:t>Giám đốc Sở Xây dựng chủ trì, phối hợp với Giám đốc Sở Tư pháp có trách nhiệm lựa chọn người có đủ tiêu chuẩn, đề nghị Chủ tịch Ủy ban nhân dân cấp tỉnh bổ nhiệm giám định viên tư pháp xây dựng;</w:t>
      </w:r>
    </w:p>
    <w:p>
      <w:pPr>
        <w:spacing w:after="0" w:before="0" w:lineRule="auto" w:line="276"/>
        <w:jc w:val="both"/>
      </w:pPr>
      <w:r>
        <w:rPr>
          <w:rFonts w:ascii="Times New Roman" w:hAnsi="Times New Roman" w:cs="Times New Roman" w:eastAsia="Times New Roman"/>
          <w:b w:val="false"/>
          <w:sz w:val="26"/>
        </w:rPr>
        <w:t>Trong thời gian 20 ngày, kể từ ngày nhận được hồ sơ hợp lệ, Chủ tịch Ủy ban nhân dân cấp tỉnh quyết định bổ nhiệm giám định viên tư pháp xây dựng. Trường hợp từ chối phải thông báo cho người đề nghị bằng văn bản và nêu rõ lý do;</w:t>
      </w:r>
    </w:p>
    <w:p>
      <w:pPr>
        <w:spacing w:after="0" w:before="0" w:lineRule="auto" w:line="276"/>
        <w:jc w:val="both"/>
      </w:pPr>
      <w:r>
        <w:rPr>
          <w:rFonts w:ascii="Times New Roman" w:hAnsi="Times New Roman" w:cs="Times New Roman" w:eastAsia="Times New Roman"/>
          <w:b w:val="false"/>
          <w:sz w:val="26"/>
        </w:rPr>
        <w:t>Trong vòng 10 ngày làm việc kể từ khi có quyết định bổ nhiệm, Ủy ban nhân dân cấp tỉnh có trách nhiệm công bố danh sách giám định viên tư pháp xây dựng trên trang thông tin điện tử của Ủy ban nhân dân cấp tỉnh đồng thời gửi Bộ Xây dựng và Bộ Tư pháp để công bố chung.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bổ nhiệm, cấp thẻ giám định viên tư pháp xây dựng hoặc đơn đề nghị bổ nhiệm giám định viên tư pháp của cá nhân đã là giám định viên tư pháp nhưng bị miễn nhiệm do nghỉ hưu hoặc thôi việc để thành lập Văn phòng giám định tư pháp (theo mẫu số 02 kèm theo  Thông tư số 17/2021/TT-BXD)</w:t>
            </w:r>
          </w:p>
        </w:tc>
        <w:tc>
          <w:p/>
          <w:p>
            <w:pPr>
              <w:spacing w:after="0" w:before="0" w:lineRule="auto" w:line="276"/>
              <w:jc w:val="left"/>
            </w:pPr>
            <w:r>
              <w:rPr>
                <w:rFonts w:ascii="Times New Roman" w:hAnsi="Times New Roman" w:cs="Times New Roman" w:eastAsia="Times New Roman"/>
                <w:b w:val="false"/>
                <w:sz w:val="26"/>
              </w:rPr>
              <w:t>Van ban de nghi bo nhiem và cap the giam dinh vien tu phap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và Phiếu lý lịch tư pháp. Trường hợp người được đề nghị bổ nhiệm giám định viên tư pháp đang là công chức, viên chức thì không cần có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hành nghề hoạt động xây dựng hoặc bản kê khai điều kiện năng lực phù hợp với tiêu chuẩn giám định viên tư pháp xây dựng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chân dung cỡ 2cm x 3cm (chụp trong vòng 06 tháng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tốt nghiệp đại học trở lên phù hợp với lĩnh vực chuyên môn được đề nghị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Sở Xây dựng - Khu liên cơ II - số 04 Phan Chu Trinh, Xương Huân, Nha Trang,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giám định viên tư pháp xây dựng và thẻ giám định viên tư pháp xây dựng tại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11/2020/TT-BTP</w:t>
            </w:r>
          </w:p>
        </w:tc>
        <w:tc>
          <w:p/>
          <w:p>
            <w:pPr>
              <w:spacing w:after="0" w:before="0" w:lineRule="auto" w:line="276"/>
              <w:jc w:val="left"/>
            </w:pPr>
            <w:r>
              <w:rPr>
                <w:rFonts w:ascii="Times New Roman" w:hAnsi="Times New Roman" w:cs="Times New Roman" w:eastAsia="Times New Roman"/>
                <w:b w:val="false"/>
                <w:sz w:val="26"/>
              </w:rPr>
              <w:t>Thông tư 11/2020/TT-BTP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Thông tư số 17/2021/TT-BXD</w:t>
            </w:r>
          </w:p>
        </w:tc>
        <w:tc>
          <w:p/>
          <w:p>
            <w:pPr>
              <w:spacing w:after="0" w:before="0" w:lineRule="auto" w:line="276"/>
              <w:jc w:val="left"/>
            </w:pPr>
            <w:r>
              <w:rPr>
                <w:rFonts w:ascii="Times New Roman" w:hAnsi="Times New Roman" w:cs="Times New Roman" w:eastAsia="Times New Roman"/>
                <w:b w:val="false"/>
                <w:sz w:val="26"/>
              </w:rPr>
              <w:t>Thông tư số 17/2021/TT-BXD ngày 22/12/2021 của Bộ Xây dựng quy định một số nội dung về hoạt động giám định tư pháp trong lĩnh vực xây dựng</w:t>
            </w:r>
          </w:p>
        </w:tc>
        <w:tc>
          <w:p/>
          <w:p>
            <w:pPr>
              <w:spacing w:after="0" w:before="0" w:lineRule="auto" w:line="276"/>
              <w:jc w:val="left"/>
            </w:pPr>
            <w:r>
              <w:rPr>
                <w:rFonts w:ascii="Times New Roman" w:hAnsi="Times New Roman" w:cs="Times New Roman" w:eastAsia="Times New Roman"/>
                <w:b w:val="false"/>
                <w:sz w:val="26"/>
              </w:rPr>
              <w:t>22-11-2021</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Giám định viên tư pháp xây dựng phải đáp ứng tiêu chuẩn quy định tại khoản 1 Điều 7 Luật Giám định tư pháp số 13/2012/QH13; trong đó, tiêu chuẩn hoạt động chuyên môn phù hợp được quy định như sau:
1. Trường hợp giám định tư pháp về sự tuân thủ các quy định của pháp luật
a) Đối với giám định sự tuân thủ các quy định của pháp luật về quy hoạch xây dựng: phải có chứng chỉ hành nghề thiết kế quy hoạch xây dựng theo quy định của pháp luật về xây dựng hoặc có kinh nghiệm quản lý nhà nước đủ 05 năm trở lên về quy hoạch xây dựng, phù hợp với đối tượng và nội dung giám định;
b) Đối với giám định sự tuân thủ các quy định của pháp luật về hoạt động đầu tư xây dựng: phải đáp ứng điều kiện năng lực hoạt động xây dựng theo quy định của pháp luật về xây dựng để thực hiện một trong các công việc khảo sát xây dựng, thiết kế xây dựng, giám sát thi công xây dựng, định giá xây dựng, quản lý dự án đầu tư xây dựng, kiểm định xây dựng hoặc có kinh nghiệm quản lý nhà nước đủ 05 năm trở lên về hoạt động xây dựng, phù hợp với đối tượng và nội dung giám định;
c) Đối với giám định sự tuân thủ các quy định của pháp luật về nhà ở và kinh doanh bất động sản: phải có kinh nghiệm quản lý nhà nước đủ 05 năm trở lên về nhà ở và thị trường bất động sản, phù hợp với đối tượng và nội dung giám định.
2. Trường hợp giám định tư pháp về chất lượng xây dựng công trình
a) Đối với giám định chất lượng khảo sát xây dựng hoặc thiết kế xây dựng: phải có chứng chỉ hành nghề khảo sát xây dựng hoặc thiết kế xây dựng theo quy định của pháp luật về xây dựng, phù hợp với đối tượng và nội dung giám định;
b) Đối với giám định chất lượng công trình xây dựng, bộ phận công trình xây dựng; giám định nguyên nhân sự cố công trình xây dựng, nguyên nhân hư hỏng công trình xây dựng: phải đáp ứng điều kiện hành nghề kiểm định xây dựng theo quy định của pháp luật về xây dựng, phù hợp với đối tượng và nội dung giám định.
3. Trường hợp giám định chi phí xây dựng công trình, giá trị nhà ở và bất động sản: phải có chứng chỉ hành nghề định giá xây dựng theo quy định của pháp luật về xây dựng hoặc có kinh nghiệm quản lý nhà nước đủ 05 năm trở lên, phù hợp với đối tượng và nội dung giám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2026-05-26T22:52:57Z</dcterms:created>
  <dc:creator>Apache POI</dc:creator>
</cp:coreProperties>
</file>