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1.002515.000.00.00.H32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công bố thông tin người giám định tư pháp xây dựng theo vụ việc, tổ chức giám định tư pháp xây dựng theo vụ việc đối với các cá nhân, tổ chức không thuộc thẩm quyền giải quyết của Bộ Xây dựng, văn phòng giám định tư pháp xây dựng trên địa bàn được Ủy ban nhân dân tỉnh cho phép hoạt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 tư pháp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cung cấp thông tin theo Phụ lục 1 kèm theo Thông tư số 04/2014/TT-BXD, tổ chức tư vấn, văn phòng giám định tư pháp xây dựng cung cấp thông tin theo Phụ lục 2 kèm theo Thông tư số 04/2014/TT-BXD gửi Ủy ban nhân dân cấp tỉnh (Sở Xây dựng là đơn vị được giao quản lý lĩnh vực giám định tư pháp xây dựng tại địa phương);</w:t>
      </w:r>
    </w:p>
    <w:p>
      <w:pPr>
        <w:spacing w:after="0" w:before="0" w:lineRule="auto" w:line="276"/>
        <w:jc w:val="both"/>
      </w:pPr>
      <w:r>
        <w:rPr>
          <w:rFonts w:ascii="Times New Roman" w:hAnsi="Times New Roman" w:cs="Times New Roman" w:eastAsia="Times New Roman"/>
          <w:b w:val="false"/>
          <w:sz w:val="26"/>
        </w:rPr>
        <w:t>- Ủy ban nhân dân cấp tỉnh tiếp nhận, tổ chức kiểm tra, xem xét hồ sơ thông tin đăng ký công bố;</w:t>
      </w:r>
    </w:p>
    <w:p>
      <w:pPr>
        <w:spacing w:after="0" w:before="0" w:lineRule="auto" w:line="276"/>
        <w:jc w:val="both"/>
      </w:pPr>
      <w:r>
        <w:rPr>
          <w:rFonts w:ascii="Times New Roman" w:hAnsi="Times New Roman" w:cs="Times New Roman" w:eastAsia="Times New Roman"/>
          <w:b w:val="false"/>
          <w:sz w:val="26"/>
        </w:rPr>
        <w:t>- Trường hợp hồ sơ thông tin đăng ký công bố chưa đầy đủ, hợp lệ, trong vòng 7 ngày làm việc kể từ khi nhận hồ sơ, Ủy ban nhân dân cấp tỉnh gửi văn bản đề nghị cá nhân, tổ chức, bổ sung hoàn thiện theo quy định.</w:t>
      </w:r>
    </w:p>
    <w:p>
      <w:pPr>
        <w:spacing w:after="0" w:before="0" w:lineRule="auto" w:line="276"/>
        <w:jc w:val="both"/>
      </w:pPr>
      <w:r>
        <w:rPr>
          <w:rFonts w:ascii="Times New Roman" w:hAnsi="Times New Roman" w:cs="Times New Roman" w:eastAsia="Times New Roman"/>
          <w:b w:val="false"/>
          <w:sz w:val="26"/>
        </w:rPr>
        <w:t>- Trong thời gian 30 ngày, kể từ ngày nhận được hồ sơ hợp lệ, Ủy ban nhân dân cấp tỉnh công bố người giám định tư pháp xây dựng, tổ chức giám định tư pháp xây dựng theo vụ việc, Văn phòng giám định tư pháp xây dựng trên trang thông tin điện tử của Ủy ban nhân dân cấp tỉnh đồng thời gửi Bộ Xây dựng và Bộ Tư pháp để công bố chung.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Cá nhân, tổ chức gửi hồ sơ trực tiếp hoặc gửi qua đường bưu điện về địa chỉ của Ủy ban nhân dân cấp tỉnh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Cá nhân, tổ chức gửi hồ sơ trực tiếp hoặc gửi qua đường bưu điện về địa chỉ của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công bố người giám định tư pháp xây dựng theo vụ việc theo mẫu tại Phụ lục 1 kèm theo Thông tư số 04/2014/TT-BXD</w:t>
            </w:r>
          </w:p>
        </w:tc>
        <w:tc>
          <w:p/>
          <w:p>
            <w:pPr>
              <w:spacing w:after="0" w:before="0" w:lineRule="auto" w:line="276"/>
              <w:jc w:val="left"/>
            </w:pPr>
            <w:r>
              <w:rPr>
                <w:rFonts w:ascii="Times New Roman" w:hAnsi="Times New Roman" w:cs="Times New Roman" w:eastAsia="Times New Roman"/>
                <w:b w:val="false"/>
                <w:sz w:val="26"/>
              </w:rPr>
              <w:t>Giay de nghi cong bo giam dinh vien tu phap.doc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thực chứng chỉ hành nghề phù hợp với nội dung đăng ký giám định kèm theo; các tài liệu có liên quan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Thông tin đăng ký công bố tổ chức giám định tư pháp xây dựng theo vụ việc, Văn phòng giám định tư pháp xây dựng theo mẫu tại Phụ lục 2 kèm theo Thông tư số 04/2014/TT-BXD</w:t>
            </w:r>
          </w:p>
        </w:tc>
        <w:tc>
          <w:p/>
          <w:p>
            <w:pPr>
              <w:spacing w:after="0" w:before="0" w:lineRule="auto" w:line="276"/>
              <w:jc w:val="left"/>
            </w:pPr>
            <w:r>
              <w:rPr>
                <w:rFonts w:ascii="Times New Roman" w:hAnsi="Times New Roman" w:cs="Times New Roman" w:eastAsia="Times New Roman"/>
                <w:b w:val="false"/>
                <w:sz w:val="26"/>
              </w:rPr>
              <w:t>Mau thong tin dang ky cong bo to chuc GĐTPXD.docx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thực chứng chỉ năng lực hoạt động xây dựng tổ chức phù hợp với nội dung đăng ký giám định kèm theo; các tài liệu có liên quan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tin được đưa lên trang Thông tin điện tử của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13/2012/QH13</w:t>
            </w:r>
          </w:p>
        </w:tc>
        <w:tc>
          <w:p/>
          <w:p>
            <w:pPr>
              <w:spacing w:after="0" w:before="0" w:lineRule="auto" w:line="276"/>
              <w:jc w:val="left"/>
            </w:pPr>
            <w:r>
              <w:rPr>
                <w:rFonts w:ascii="Times New Roman" w:hAnsi="Times New Roman" w:cs="Times New Roman" w:eastAsia="Times New Roman"/>
                <w:b w:val="false"/>
                <w:sz w:val="26"/>
              </w:rPr>
              <w:t>Luật 13/2012/QH13</w:t>
            </w:r>
          </w:p>
        </w:tc>
        <w:tc>
          <w:p/>
          <w:p>
            <w:pPr>
              <w:spacing w:after="0" w:before="0" w:lineRule="auto" w:line="276"/>
              <w:jc w:val="left"/>
            </w:pPr>
            <w:r>
              <w:rPr>
                <w:rFonts w:ascii="Times New Roman" w:hAnsi="Times New Roman" w:cs="Times New Roman" w:eastAsia="Times New Roman"/>
                <w:b w:val="false"/>
                <w:sz w:val="26"/>
              </w:rPr>
              <w:t>20-06-2012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62/2016/NĐ-CP</w:t>
            </w:r>
          </w:p>
        </w:tc>
        <w:tc>
          <w:p/>
          <w:p>
            <w:pPr>
              <w:spacing w:after="0" w:before="0" w:lineRule="auto" w:line="276"/>
              <w:jc w:val="left"/>
            </w:pPr>
            <w:r>
              <w:rPr>
                <w:rFonts w:ascii="Times New Roman" w:hAnsi="Times New Roman" w:cs="Times New Roman" w:eastAsia="Times New Roman"/>
                <w:b w:val="false"/>
                <w:sz w:val="26"/>
              </w:rPr>
              <w:t>Nghị định 62/2016/NĐ-CP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04/2014/TT-BXD</w:t>
            </w:r>
          </w:p>
        </w:tc>
        <w:tc>
          <w:p/>
          <w:p>
            <w:pPr>
              <w:spacing w:after="0" w:before="0" w:lineRule="auto" w:line="276"/>
              <w:jc w:val="left"/>
            </w:pPr>
            <w:r>
              <w:rPr>
                <w:rFonts w:ascii="Times New Roman" w:hAnsi="Times New Roman" w:cs="Times New Roman" w:eastAsia="Times New Roman"/>
                <w:b w:val="false"/>
                <w:sz w:val="26"/>
              </w:rPr>
              <w:t>Thông tư 04/2014/TT-BXD</w:t>
            </w:r>
          </w:p>
        </w:tc>
        <w:tc>
          <w:p/>
          <w:p>
            <w:pPr>
              <w:spacing w:after="0" w:before="0" w:lineRule="auto" w:line="276"/>
              <w:jc w:val="left"/>
            </w:pPr>
            <w:r>
              <w:rPr>
                <w:rFonts w:ascii="Times New Roman" w:hAnsi="Times New Roman" w:cs="Times New Roman" w:eastAsia="Times New Roman"/>
                <w:b w:val="false"/>
                <w:sz w:val="26"/>
              </w:rPr>
              <w:t>01-04-2014</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Nghị định 59/2015/NĐ-CP</w:t>
            </w:r>
          </w:p>
        </w:tc>
        <w:tc>
          <w:p/>
          <w:p>
            <w:pPr>
              <w:spacing w:after="0" w:before="0" w:lineRule="auto" w:line="276"/>
              <w:jc w:val="left"/>
            </w:pPr>
            <w:r>
              <w:rPr>
                <w:rFonts w:ascii="Times New Roman" w:hAnsi="Times New Roman" w:cs="Times New Roman" w:eastAsia="Times New Roman"/>
                <w:b w:val="false"/>
                <w:sz w:val="26"/>
              </w:rPr>
              <w:t>05-09-2015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Đối với người giám định tư pháp xây dựng theo vụ việc:
(1) Điều kiện chung đối với người giám định tư pháp theo vụ việc: công dân Việt Nam thường trú tại Việt Nam có đủ tiêu chuẩn sau:
- Có sức khỏe, phẩm chất đạo đức tốt;
- Có trình độ đại học trở lên và đã qua thực tế hoạt động chuyên môn ở lĩnh vực được đào tạo từ đủ 05 năm trở lên;
Trường hợp người không có trình độ đại học nhưng có kiến thức chuyên sâu và có nhiều kinh nghiệm thực tiễn về lĩnh vực cần giám định thì có thể được lựa chọn làm người giám định tư pháp theo vụ việc.
(2) Điều kiện riêng đối với người giám định tư pháp xây dựng theo vụ việc:
- Đối với giám định tư pháp về sự tuân thủ các quy định của pháp luật trong hoạt động đầu tư xây dựng: Có kinh nghiệm thực hiện một trong các công việc quản lý dự án đầu tư xây dựng, giám sát thi công xây dựng, kiểm định xây dựng hoặc quản lý nhà nước về xây dựng.
- Đối với giám định tư pháp về chất lượng hoặc nguyên nhân hư hỏng, thời hạn sử dụng và các thông số kỹ thuật khác của vật liệu, cấu kiện, sản phẩm xây dựng, bộ phận công trình hoặc công trình xây dựng:
+ Có kinh nghiệm thực hiện một trong các công việc: thiết kế xây dựng, thẩm tra thiết kế, giám sát thi công xây dựng, thi công xây dựng, thí nghiệm chuyên ngành xây dựng, kiểm định xây dựng phù hợp với nội dung giám định tư pháp xây dựng;
+ Có chứng chỉ hành nghề chủ trì khảo sát xây dựng hoặc chủ trì thiết kế xây dựng theo quy định đối với trường hợp giám định chất lượng khảo sát xây dựng hoặc thiết kế xây dựng công trình;
+ Có chứng chỉ hành nghề kiểm định xây dựng hoặc thiết kế xây dựng hoặc giám sát thi công xây dựng theo quy định đối với trường hợp giám định chất lượng vật liệu, sản phẩm xây dựng, thiết bị công trình;
+ Có chứng chỉ hành nghề kiểm định xây dựng hoặc thiết kế xây dựng hoặc giám sát thi công xây dựng theo quy định đối với trường hợp giám định chất lượng bộ phận công trình xây dựng, công trình xây dựng và giám định sự cố công trình xây dựng.
- Đối với giám định tư pháp về chi phí đầu tư xây dựng công trình, giá trị công trình:
+ Có kinh nghiệm thực hiện một trong các công việc quản lý dự án đầu tư xây dựng, thiết kế xây dựng, kiểm định xây dựng hoặc quản lý chi phí đầu tư xây dựng công trình phù hợp với nội dung giám định tư pháp xây dựng;
+ Có chứng chỉ hành nghề định giá xây dựng theo quy định.
b) Đối với tổ chức giám định tư pháp xây dựng theo vụ việc:
(1) Điều kiện chung đối với tổ chức giám định tư pháp theo vụ việc
- Có tư cách pháp nhân;
- Có hoạt động chuyên môn phù hợp với nội dung được trưng cầu, yêu cầu giám định;
- Có điều kiện về cán bộ chuyên môn, cơ sở vật chất bảo đảm cho việc thực hiện giám định tư pháp.
(2) Điều kiện riêng đối với tổ chức giám định tư pháp xây dựng theo vụ việc:
- Đối với giám định tư pháp về sự tuân thủ các quy định của pháp luật trong hoạt động đầu tư xây dựng:
+ Có đủ điều kiện năng lực theo quy định để thực hiện một trong các công việc quản lý dự án đầu tư xây dựng, kiểm định xây dựng, giám sát thi công xây dựng phù hợp với nội dung giám định tư pháp xây dựng;
+ Cá nhân chủ trì giám định phải đáp ứng điều kiện như đối với giám định viên tư pháp xây dựng, người giám định tư pháp xây dựng theo vụ việc thực hiện giám định về sự tuân thủ các quy định của pháp luật trong hoạt động đầu tư xây dựng.
- Đối với giám định tư pháp về chất lượng hoặc nguyên nhân hư hỏng, thời hạn sử dụng và các thông số kỹ thuật khác của vật liệu, cấu kiện, sản phẩm xây dựng, bộ phận công trình hoặc công trình xây dựng:
+ Trường hợp giám định chất lượng khảo sát xây dựng hoặc thiết kế xây dựng công trình; tổ chức thực hiện phải có đủ điều kiện năng lực để thực hiện một trong các công việc: kiểm định xây dựng, khảo sát xây dựng, thiết kế xây dựng, thẩm tra thiết kế xây dựng theo quy định phù hợp với nội dung giám định tư pháp xây dựng;
+ Trường hợp giám định chất lượng vật liệu, sản phẩm xây dựng, thiết bị công trình; tổ chức thực hiện phải có đủ điều kiện năng lực để thực hiện một trong các công việc: kiểm định xây dựng, thiết kế xây dựng, thí nghiệm chuyên ngành xây dựng, giám sát thi công xây dựng theo quy định phù hợp với nội dung giám định tư pháp xây dựng;
+ Trường hợp giám định chất lượng bộ phận công trình xây dựng, công trình xây dựng và giám định sự cố công trình xây dựng; tổ chức thực hiện phải có đủ điều kiện năng lực để thực hiện một trong các công việc: kiểm định xây dựng, thiết kế xây dựng theo quy định phù hợp với nội dung giám định tư pháp xây dựng;
+ Cá nhân chủ trì thực hiện giám định các nội dung nêu trên phải đáp ứng điều kiện tương ứng như đối với giám định viên tư pháp xây dựng, người giám định tư pháp xây dựng theo vụ việc thực hiện giám định về chất lượng hoặc nguyên nhân hư hỏng, thời hạn sử dụng và các thông số kỹ thuật khác của vật liệu, cấu kiện, sản phẩm xây dựng, bộ phận công trình hoặc công trình xây dựng.
- Đối với giám định tư pháp về chi phí đầu tư xây dựng công trình, giá trị công trình:
+ Có năng lực thực hiện một trong các công việc kiểm định xây dựng, thiết kế xây dựng, giám sát thi công xây dựng, quản lý chi phí đầu tư xây dựng công trình theo quy định phù hợp với nội dung giám định tư pháp xây dựng;
+ Cá nhân chủ trì thực hiện giám định phải đáp ứng điều kiện tương ứng như đối với giám định viên tư pháp xây dựng, người giám định tư pháp xây dựng theo vụ việc thực hiện giám định về chi phí đầu tư xây dựng công trình, giá trị công trình.
c) Đối với văn phòng giám định tư pháp xây dựng
- Được thành lập và được cấp giấy đăng ký hoạt động theo quy định;
- Đáp ứng các yêu cầu về năng lực của tổ chức giám định tư pháp xây dựng theo vụ việc phù hợp với nội dung giám định tư pháp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2026-05-26T22:53:35Z</dcterms:created>
  <dc:creator>Apache POI</dc:creator>
</cp:coreProperties>
</file>