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1.002621.000.00.00.H32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thay đổi thông tin cá nhân, tổ chức thực hiện giám định tư pháp xây dựng do UBND cấp tỉnh đã tiếp nhận đăng ký, công bố thông tin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khi có thay đổi, điều chỉnh các thông tin (đơn vị công tác, địa chỉ thường trú, nội dung giám định tư pháp xây dựng, các bằng cấp, chứng chỉ, chứng nhận bồi dưỡng nghiệp vụ có liên quan đến nội dung giám định tư pháp xây dựng); tổ chức khi có thay đổi, điều chỉnh các thông tin (tên tổ chức, giấy chứng nhận đăng ký kinh doanh, địa chỉ, nội dung giám định tư pháp xây dựng) thì cá nhân, tổ chức có trách nhiệm cung cấp thông tin thay đổi đến Ủy ban nhân dân cấp tỉnh (Sở Xây dựng là đơn vị được giao quản lý lĩnh vực giám định tư pháp xây dựng tại địa phương);</w:t>
      </w:r>
    </w:p>
    <w:p>
      <w:pPr>
        <w:spacing w:after="0" w:before="0" w:lineRule="auto" w:line="276"/>
        <w:jc w:val="both"/>
      </w:pPr>
      <w:r>
        <w:rPr>
          <w:rFonts w:ascii="Times New Roman" w:hAnsi="Times New Roman" w:cs="Times New Roman" w:eastAsia="Times New Roman"/>
          <w:b w:val="false"/>
          <w:sz w:val="26"/>
        </w:rPr>
        <w:t>Sau 10 ngày làm việc kể từ khi nhận đủ thông tin, Ủy ban nhân dân cấp tỉnh có trách nhiệm kiểm tra và cập nhật lại thông tin trên     trang thông tin điện tử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sau 10 ngày, kể từ ngày nhận đủ thông tin, UBND cấp tỉnh có trách nhiệm kiểm tra và cập nhật lại thông tin của cá nhân, tổ chức và đăng tải tren trang thông tin điện tử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sau 10 ngày, kể từ ngày nhận đủ thông tin, UBND cấp tỉnh có trách nhiệm kiểm tra và cập nhật lại thông tin của cá nhân, tổ chức và đăng tải tren trang thông tin điện tử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trong đó có thông tin điều chỉnh và các tài liệu chứng minh về thông tin điều chỉnh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điều chỉnh, thay đổi được đưa lên website của UBND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62/2016/NĐ-CP</w:t>
            </w:r>
          </w:p>
        </w:tc>
        <w:tc>
          <w:p/>
          <w:p>
            <w:pPr>
              <w:spacing w:after="0" w:before="0" w:lineRule="auto" w:line="276"/>
              <w:jc w:val="left"/>
            </w:pPr>
            <w:r>
              <w:rPr>
                <w:rFonts w:ascii="Times New Roman" w:hAnsi="Times New Roman" w:cs="Times New Roman" w:eastAsia="Times New Roman"/>
                <w:b w:val="false"/>
                <w:sz w:val="26"/>
              </w:rPr>
              <w:t>Nghị định 62/2016/NĐ-CP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04/2014/TT-BXD</w:t>
            </w:r>
          </w:p>
        </w:tc>
        <w:tc>
          <w:p/>
          <w:p>
            <w:pPr>
              <w:spacing w:after="0" w:before="0" w:lineRule="auto" w:line="276"/>
              <w:jc w:val="left"/>
            </w:pPr>
            <w:r>
              <w:rPr>
                <w:rFonts w:ascii="Times New Roman" w:hAnsi="Times New Roman" w:cs="Times New Roman" w:eastAsia="Times New Roman"/>
                <w:b w:val="false"/>
                <w:sz w:val="26"/>
              </w:rPr>
              <w:t>Thông tư 04/2014/TT-BXD</w:t>
            </w:r>
          </w:p>
        </w:tc>
        <w:tc>
          <w:p/>
          <w:p>
            <w:pPr>
              <w:spacing w:after="0" w:before="0" w:lineRule="auto" w:line="276"/>
              <w:jc w:val="left"/>
            </w:pPr>
            <w:r>
              <w:rPr>
                <w:rFonts w:ascii="Times New Roman" w:hAnsi="Times New Roman" w:cs="Times New Roman" w:eastAsia="Times New Roman"/>
                <w:b w:val="false"/>
                <w:sz w:val="26"/>
              </w:rPr>
              <w:t>01-04-2014</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05-09-2015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Số: 85/2013/NĐ-CP NGhị định Quy định chi tiết và biện pháp thi hành Luật Giám định tư pháp</w:t>
            </w:r>
          </w:p>
        </w:tc>
        <w:tc>
          <w:p/>
          <w:p>
            <w:pPr>
              <w:spacing w:after="0" w:before="0" w:lineRule="auto" w:line="276"/>
              <w:jc w:val="left"/>
            </w:pPr>
            <w:r>
              <w:rPr>
                <w:rFonts w:ascii="Times New Roman" w:hAnsi="Times New Roman" w:cs="Times New Roman" w:eastAsia="Times New Roman"/>
                <w:b w:val="false"/>
                <w:sz w:val="26"/>
              </w:rPr>
              <w:t>29-07-2013</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khi có thay đổi, điều chỉnh các thông tin (đơn vị công tác, địa chỉ thường trú, nội dung giám định tư pháp xây dựng, các bằng cấp, chứng chỉ, chứng nhận bồi dưỡng nghiệp vụ có liên quan đến nội dung giám định tư pháp xây dựng); tổ chức khi có thay đổi, điều chỉnh các thông tin (tên tổ chức, giấy chứng nhận đăng ký kinh doanh, địa chỉ, nội dung giám định tư pháp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2026-05-26T22:53:59Z</dcterms:created>
  <dc:creator>Apache POI</dc:creator>
</cp:coreProperties>
</file>